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3F172" w14:textId="4FB63A3A" w:rsidR="00301124" w:rsidRPr="009E495E" w:rsidRDefault="00D23E02" w:rsidP="00754FD1">
      <w:pPr>
        <w:pStyle w:val="Title"/>
        <w:keepLines/>
        <w:widowControl/>
      </w:pPr>
      <w:r w:rsidRPr="009E495E">
        <w:t>Virginia Regulatory Assessment Template</w:t>
      </w:r>
    </w:p>
    <w:p w14:paraId="1C462129" w14:textId="77777777" w:rsidR="000460F7" w:rsidRPr="009E495E" w:rsidRDefault="000460F7" w:rsidP="000460F7">
      <w:pPr>
        <w:pStyle w:val="Title"/>
        <w:keepLines/>
        <w:widowControl/>
        <w:jc w:val="left"/>
        <w:rPr>
          <w:sz w:val="24"/>
          <w:szCs w:val="24"/>
        </w:rPr>
      </w:pPr>
    </w:p>
    <w:p w14:paraId="2DACFD39" w14:textId="77777777" w:rsidR="005A69A8" w:rsidRPr="009E495E" w:rsidRDefault="000460F7" w:rsidP="000D6A65">
      <w:pPr>
        <w:pStyle w:val="Title"/>
        <w:keepLines/>
        <w:widowControl/>
        <w:ind w:left="180"/>
        <w:jc w:val="left"/>
        <w:rPr>
          <w:sz w:val="22"/>
          <w:szCs w:val="22"/>
        </w:rPr>
      </w:pPr>
      <w:r w:rsidRPr="009E495E">
        <w:rPr>
          <w:b/>
          <w:bCs/>
          <w:sz w:val="22"/>
          <w:szCs w:val="22"/>
        </w:rPr>
        <w:t>Instructions:</w:t>
      </w:r>
    </w:p>
    <w:p w14:paraId="35B8A83E" w14:textId="77777777" w:rsidR="005A69A8" w:rsidRPr="009E495E" w:rsidRDefault="000460F7" w:rsidP="005A69A8">
      <w:pPr>
        <w:pStyle w:val="Title"/>
        <w:keepLines/>
        <w:widowControl/>
        <w:numPr>
          <w:ilvl w:val="0"/>
          <w:numId w:val="3"/>
        </w:numPr>
        <w:jc w:val="left"/>
        <w:rPr>
          <w:sz w:val="22"/>
          <w:szCs w:val="22"/>
        </w:rPr>
      </w:pPr>
      <w:r w:rsidRPr="009E495E">
        <w:rPr>
          <w:sz w:val="22"/>
          <w:szCs w:val="22"/>
        </w:rPr>
        <w:t xml:space="preserve">Select one (1) “performance area” or outcome from the following set to evaluate how </w:t>
      </w:r>
      <w:r w:rsidRPr="009E495E">
        <w:rPr>
          <w:sz w:val="22"/>
          <w:szCs w:val="22"/>
          <w:u w:val="single"/>
        </w:rPr>
        <w:t>existing</w:t>
      </w:r>
      <w:r w:rsidRPr="009E495E">
        <w:rPr>
          <w:sz w:val="22"/>
          <w:szCs w:val="22"/>
        </w:rPr>
        <w:t xml:space="preserve"> regulatory mechanisms in Virginia support (incentivize) </w:t>
      </w:r>
      <w:r w:rsidR="00BF11FB" w:rsidRPr="009E495E">
        <w:rPr>
          <w:sz w:val="22"/>
          <w:szCs w:val="22"/>
        </w:rPr>
        <w:t xml:space="preserve">the </w:t>
      </w:r>
      <w:r w:rsidRPr="009E495E">
        <w:rPr>
          <w:sz w:val="22"/>
          <w:szCs w:val="22"/>
        </w:rPr>
        <w:t xml:space="preserve">achievement of that outcome or </w:t>
      </w:r>
      <w:r w:rsidR="00BF11FB" w:rsidRPr="009E495E">
        <w:rPr>
          <w:sz w:val="22"/>
          <w:szCs w:val="22"/>
        </w:rPr>
        <w:t>disincentivize</w:t>
      </w:r>
      <w:r w:rsidRPr="009E495E">
        <w:rPr>
          <w:sz w:val="22"/>
          <w:szCs w:val="22"/>
        </w:rPr>
        <w:t xml:space="preserve"> </w:t>
      </w:r>
      <w:r w:rsidR="00BF11FB" w:rsidRPr="009E495E">
        <w:rPr>
          <w:sz w:val="22"/>
          <w:szCs w:val="22"/>
        </w:rPr>
        <w:t xml:space="preserve">the </w:t>
      </w:r>
      <w:r w:rsidRPr="009E495E">
        <w:rPr>
          <w:sz w:val="22"/>
          <w:szCs w:val="22"/>
        </w:rPr>
        <w:t>achievement of the outcome. Consider this question for each regulatory mechanism identified in the template, and for the overall performance of Virginia’s utility regulatory structure to support (or hinder) that outcome (performance area).</w:t>
      </w:r>
    </w:p>
    <w:p w14:paraId="48AFCD76" w14:textId="34D372FE" w:rsidR="006819D3" w:rsidRPr="009E495E" w:rsidRDefault="000460F7" w:rsidP="005A69A8">
      <w:pPr>
        <w:pStyle w:val="Title"/>
        <w:keepLines/>
        <w:widowControl/>
        <w:numPr>
          <w:ilvl w:val="0"/>
          <w:numId w:val="3"/>
        </w:numPr>
        <w:jc w:val="left"/>
        <w:rPr>
          <w:sz w:val="22"/>
          <w:szCs w:val="22"/>
        </w:rPr>
      </w:pPr>
      <w:r w:rsidRPr="009E495E">
        <w:rPr>
          <w:sz w:val="22"/>
          <w:szCs w:val="22"/>
        </w:rPr>
        <w:t>Each stakeholder should complete worksheet</w:t>
      </w:r>
      <w:r w:rsidR="00547D7E" w:rsidRPr="009E495E">
        <w:rPr>
          <w:sz w:val="22"/>
          <w:szCs w:val="22"/>
        </w:rPr>
        <w:t>s</w:t>
      </w:r>
      <w:r w:rsidRPr="009E495E">
        <w:rPr>
          <w:sz w:val="22"/>
          <w:szCs w:val="22"/>
        </w:rPr>
        <w:t xml:space="preserve"> for</w:t>
      </w:r>
      <w:r w:rsidR="00DA1F07" w:rsidRPr="009E495E">
        <w:rPr>
          <w:sz w:val="22"/>
          <w:szCs w:val="22"/>
        </w:rPr>
        <w:t xml:space="preserve"> at least</w:t>
      </w:r>
      <w:r w:rsidRPr="009E495E">
        <w:rPr>
          <w:sz w:val="22"/>
          <w:szCs w:val="22"/>
        </w:rPr>
        <w:t xml:space="preserve"> two performance areas of their choosing. Additional (more than two) performance areas can be evaluated in additional worksheets, at your discretion.</w:t>
      </w:r>
      <w:r w:rsidR="6AA114BC" w:rsidRPr="009E495E">
        <w:rPr>
          <w:sz w:val="22"/>
          <w:szCs w:val="22"/>
        </w:rPr>
        <w:t xml:space="preserve"> </w:t>
      </w:r>
    </w:p>
    <w:p w14:paraId="7D6E01E6" w14:textId="77777777" w:rsidR="00231CD8" w:rsidRPr="009E495E" w:rsidRDefault="00231CD8" w:rsidP="000D6A65">
      <w:pPr>
        <w:pStyle w:val="Title"/>
        <w:keepLines/>
        <w:widowControl/>
        <w:spacing w:before="120"/>
        <w:ind w:left="180"/>
        <w:jc w:val="left"/>
        <w:rPr>
          <w:sz w:val="22"/>
          <w:szCs w:val="22"/>
        </w:rPr>
      </w:pPr>
    </w:p>
    <w:p w14:paraId="3DB96527" w14:textId="560A3C80" w:rsidR="00E70063" w:rsidRPr="009E495E" w:rsidRDefault="003D5C0B" w:rsidP="00E70063">
      <w:pPr>
        <w:pStyle w:val="Title"/>
        <w:keepLines/>
        <w:spacing w:before="120"/>
        <w:ind w:left="180"/>
        <w:jc w:val="left"/>
        <w:rPr>
          <w:i/>
          <w:iCs/>
          <w:sz w:val="22"/>
          <w:szCs w:val="22"/>
        </w:rPr>
      </w:pPr>
      <w:r w:rsidRPr="009E495E">
        <w:rPr>
          <w:b/>
          <w:bCs/>
          <w:sz w:val="22"/>
          <w:szCs w:val="22"/>
        </w:rPr>
        <w:t xml:space="preserve">Reference </w:t>
      </w:r>
      <w:r w:rsidR="00A64864" w:rsidRPr="009E495E">
        <w:rPr>
          <w:b/>
          <w:bCs/>
          <w:sz w:val="22"/>
          <w:szCs w:val="22"/>
        </w:rPr>
        <w:t>Key:</w:t>
      </w:r>
      <w:r w:rsidR="00A64864" w:rsidRPr="009E495E">
        <w:rPr>
          <w:sz w:val="22"/>
          <w:szCs w:val="22"/>
        </w:rPr>
        <w:t xml:space="preserve"> Performance Areas from </w:t>
      </w:r>
      <w:r w:rsidRPr="009E495E">
        <w:rPr>
          <w:i/>
          <w:iCs/>
          <w:sz w:val="22"/>
          <w:szCs w:val="22"/>
        </w:rPr>
        <w:t>House Joint Resolution No. 30 / Senate Joint Resolution No. 47</w:t>
      </w:r>
    </w:p>
    <w:tbl>
      <w:tblPr>
        <w:tblStyle w:val="TableGrid"/>
        <w:tblW w:w="0" w:type="auto"/>
        <w:tblInd w:w="198" w:type="dxa"/>
        <w:tblLook w:val="04A0" w:firstRow="1" w:lastRow="0" w:firstColumn="1" w:lastColumn="0" w:noHBand="0" w:noVBand="1"/>
      </w:tblPr>
      <w:tblGrid>
        <w:gridCol w:w="6331"/>
        <w:gridCol w:w="6629"/>
      </w:tblGrid>
      <w:tr w:rsidR="003E2469" w:rsidRPr="009E495E" w14:paraId="4A3B518E" w14:textId="77777777" w:rsidTr="46F26E6B">
        <w:trPr>
          <w:trHeight w:val="420"/>
        </w:trPr>
        <w:tc>
          <w:tcPr>
            <w:tcW w:w="6331" w:type="dxa"/>
          </w:tcPr>
          <w:p w14:paraId="59E45CE4" w14:textId="62A3A2BF" w:rsidR="003E2469" w:rsidRPr="009E495E" w:rsidRDefault="00BA734C" w:rsidP="000460F7">
            <w:pPr>
              <w:pStyle w:val="Title"/>
              <w:keepLines/>
              <w:widowControl/>
              <w:spacing w:before="120"/>
              <w:ind w:left="0"/>
              <w:jc w:val="left"/>
              <w:rPr>
                <w:sz w:val="20"/>
                <w:szCs w:val="20"/>
              </w:rPr>
            </w:pPr>
            <w:r w:rsidRPr="009E495E">
              <w:rPr>
                <w:sz w:val="20"/>
                <w:szCs w:val="20"/>
              </w:rPr>
              <w:t>Reliability and resiliency</w:t>
            </w:r>
          </w:p>
        </w:tc>
        <w:tc>
          <w:tcPr>
            <w:tcW w:w="6629" w:type="dxa"/>
          </w:tcPr>
          <w:p w14:paraId="28CC8C9E" w14:textId="13B71A07" w:rsidR="003E2469" w:rsidRPr="009E495E" w:rsidRDefault="00171D14" w:rsidP="000460F7">
            <w:pPr>
              <w:pStyle w:val="Title"/>
              <w:keepLines/>
              <w:widowControl/>
              <w:spacing w:before="120"/>
              <w:ind w:left="0"/>
              <w:jc w:val="left"/>
              <w:rPr>
                <w:sz w:val="20"/>
                <w:szCs w:val="20"/>
              </w:rPr>
            </w:pPr>
            <w:r w:rsidRPr="009E495E">
              <w:rPr>
                <w:sz w:val="20"/>
                <w:szCs w:val="20"/>
              </w:rPr>
              <w:t>Affordability for customers</w:t>
            </w:r>
          </w:p>
        </w:tc>
      </w:tr>
      <w:tr w:rsidR="003E2469" w:rsidRPr="009E495E" w14:paraId="4BCAE3F0" w14:textId="77777777" w:rsidTr="46F26E6B">
        <w:tc>
          <w:tcPr>
            <w:tcW w:w="6331" w:type="dxa"/>
          </w:tcPr>
          <w:p w14:paraId="60B48B5A" w14:textId="3D3BDC9C" w:rsidR="003E2469" w:rsidRPr="009E495E" w:rsidRDefault="00BA734C" w:rsidP="000460F7">
            <w:pPr>
              <w:pStyle w:val="Title"/>
              <w:keepLines/>
              <w:widowControl/>
              <w:spacing w:before="120"/>
              <w:ind w:left="0"/>
              <w:jc w:val="left"/>
              <w:rPr>
                <w:sz w:val="20"/>
                <w:szCs w:val="20"/>
              </w:rPr>
            </w:pPr>
            <w:r w:rsidRPr="009E495E">
              <w:rPr>
                <w:sz w:val="20"/>
                <w:szCs w:val="20"/>
              </w:rPr>
              <w:t>Emergency response and safety</w:t>
            </w:r>
          </w:p>
        </w:tc>
        <w:tc>
          <w:tcPr>
            <w:tcW w:w="6629" w:type="dxa"/>
          </w:tcPr>
          <w:p w14:paraId="0952E293" w14:textId="0A828C69" w:rsidR="003E2469" w:rsidRPr="009E495E" w:rsidRDefault="00171D14" w:rsidP="000460F7">
            <w:pPr>
              <w:pStyle w:val="Title"/>
              <w:keepLines/>
              <w:widowControl/>
              <w:spacing w:before="120"/>
              <w:ind w:left="0"/>
              <w:jc w:val="left"/>
              <w:rPr>
                <w:sz w:val="20"/>
                <w:szCs w:val="20"/>
              </w:rPr>
            </w:pPr>
            <w:r w:rsidRPr="009E495E">
              <w:rPr>
                <w:sz w:val="20"/>
                <w:szCs w:val="20"/>
              </w:rPr>
              <w:t>Cost-efficient utility investments and operations</w:t>
            </w:r>
          </w:p>
        </w:tc>
      </w:tr>
      <w:tr w:rsidR="003E2469" w:rsidRPr="009E495E" w14:paraId="5FD124C0" w14:textId="77777777" w:rsidTr="46F26E6B">
        <w:tc>
          <w:tcPr>
            <w:tcW w:w="6331" w:type="dxa"/>
          </w:tcPr>
          <w:p w14:paraId="4197536A" w14:textId="22D002C0" w:rsidR="003E2469" w:rsidRPr="009E495E" w:rsidRDefault="009B706B" w:rsidP="000460F7">
            <w:pPr>
              <w:pStyle w:val="Title"/>
              <w:keepLines/>
              <w:widowControl/>
              <w:spacing w:before="120"/>
              <w:ind w:left="0"/>
              <w:jc w:val="left"/>
              <w:rPr>
                <w:sz w:val="20"/>
                <w:szCs w:val="20"/>
              </w:rPr>
            </w:pPr>
            <w:r w:rsidRPr="009E495E">
              <w:rPr>
                <w:sz w:val="20"/>
                <w:szCs w:val="20"/>
              </w:rPr>
              <w:t>Peak demand reductions</w:t>
            </w:r>
          </w:p>
        </w:tc>
        <w:tc>
          <w:tcPr>
            <w:tcW w:w="6629" w:type="dxa"/>
          </w:tcPr>
          <w:p w14:paraId="6567F28E" w14:textId="7D919B16" w:rsidR="003E2469" w:rsidRPr="009E495E" w:rsidRDefault="00171D14" w:rsidP="000460F7">
            <w:pPr>
              <w:pStyle w:val="Title"/>
              <w:keepLines/>
              <w:widowControl/>
              <w:spacing w:before="120"/>
              <w:ind w:left="0"/>
              <w:jc w:val="left"/>
              <w:rPr>
                <w:sz w:val="20"/>
                <w:szCs w:val="20"/>
              </w:rPr>
            </w:pPr>
            <w:r w:rsidRPr="009E495E">
              <w:rPr>
                <w:sz w:val="20"/>
                <w:szCs w:val="20"/>
              </w:rPr>
              <w:t>Maximization of available federal funding</w:t>
            </w:r>
          </w:p>
        </w:tc>
      </w:tr>
      <w:tr w:rsidR="003E2469" w:rsidRPr="009E495E" w14:paraId="67C88156" w14:textId="77777777" w:rsidTr="46F26E6B">
        <w:tc>
          <w:tcPr>
            <w:tcW w:w="6331" w:type="dxa"/>
          </w:tcPr>
          <w:p w14:paraId="757BBA8E" w14:textId="3EF42E64" w:rsidR="003E2469" w:rsidRPr="009E495E" w:rsidRDefault="009B706B" w:rsidP="000460F7">
            <w:pPr>
              <w:pStyle w:val="Title"/>
              <w:keepLines/>
              <w:widowControl/>
              <w:spacing w:before="120"/>
              <w:ind w:left="0"/>
              <w:jc w:val="left"/>
              <w:rPr>
                <w:sz w:val="20"/>
                <w:szCs w:val="20"/>
              </w:rPr>
            </w:pPr>
            <w:r w:rsidRPr="009E495E">
              <w:rPr>
                <w:sz w:val="20"/>
                <w:szCs w:val="20"/>
              </w:rPr>
              <w:t>Cyber and physical security of the grid</w:t>
            </w:r>
          </w:p>
        </w:tc>
        <w:tc>
          <w:tcPr>
            <w:tcW w:w="6629" w:type="dxa"/>
          </w:tcPr>
          <w:p w14:paraId="26B0CD80" w14:textId="56C27143" w:rsidR="003E2469" w:rsidRPr="009E495E" w:rsidRDefault="00171D14" w:rsidP="000460F7">
            <w:pPr>
              <w:pStyle w:val="Title"/>
              <w:keepLines/>
              <w:widowControl/>
              <w:spacing w:before="120"/>
              <w:ind w:left="0"/>
              <w:jc w:val="left"/>
              <w:rPr>
                <w:sz w:val="20"/>
                <w:szCs w:val="20"/>
              </w:rPr>
            </w:pPr>
            <w:r w:rsidRPr="009E495E">
              <w:rPr>
                <w:sz w:val="20"/>
                <w:szCs w:val="20"/>
              </w:rPr>
              <w:t>Savings maximization from energy efficiency and exceedance of statutorily required savings levels</w:t>
            </w:r>
          </w:p>
        </w:tc>
      </w:tr>
      <w:tr w:rsidR="003E2469" w:rsidRPr="009E495E" w14:paraId="30D8BA4D" w14:textId="77777777" w:rsidTr="46F26E6B">
        <w:tc>
          <w:tcPr>
            <w:tcW w:w="6331" w:type="dxa"/>
          </w:tcPr>
          <w:p w14:paraId="1216B848" w14:textId="3D3AEBF6" w:rsidR="003E2469" w:rsidRPr="009E495E" w:rsidRDefault="009B706B" w:rsidP="000460F7">
            <w:pPr>
              <w:pStyle w:val="Title"/>
              <w:keepLines/>
              <w:widowControl/>
              <w:spacing w:before="120"/>
              <w:ind w:left="0"/>
              <w:jc w:val="left"/>
              <w:rPr>
                <w:sz w:val="20"/>
                <w:szCs w:val="20"/>
              </w:rPr>
            </w:pPr>
            <w:r w:rsidRPr="009E495E">
              <w:rPr>
                <w:sz w:val="20"/>
                <w:szCs w:val="20"/>
              </w:rPr>
              <w:t>Annual and monthly generation and resource needs in addition to hourly generation and resource needs on the 10 hottest and coldest days of the year</w:t>
            </w:r>
          </w:p>
        </w:tc>
        <w:tc>
          <w:tcPr>
            <w:tcW w:w="6629" w:type="dxa"/>
          </w:tcPr>
          <w:p w14:paraId="0CA85530" w14:textId="586C15CE" w:rsidR="003E2469" w:rsidRPr="009E495E" w:rsidRDefault="00171D14" w:rsidP="000460F7">
            <w:pPr>
              <w:pStyle w:val="Title"/>
              <w:keepLines/>
              <w:widowControl/>
              <w:spacing w:before="120"/>
              <w:ind w:left="0"/>
              <w:jc w:val="left"/>
              <w:rPr>
                <w:sz w:val="20"/>
                <w:szCs w:val="20"/>
              </w:rPr>
            </w:pPr>
            <w:r w:rsidRPr="009E495E">
              <w:rPr>
                <w:sz w:val="20"/>
                <w:szCs w:val="20"/>
              </w:rPr>
              <w:t>DER integration and speed of interconnection</w:t>
            </w:r>
          </w:p>
        </w:tc>
      </w:tr>
      <w:tr w:rsidR="009B706B" w:rsidRPr="009E495E" w14:paraId="580CEDB2" w14:textId="77777777" w:rsidTr="46F26E6B">
        <w:tc>
          <w:tcPr>
            <w:tcW w:w="6331" w:type="dxa"/>
          </w:tcPr>
          <w:p w14:paraId="002D6301" w14:textId="0BC2C42B" w:rsidR="009B706B" w:rsidRPr="009E495E" w:rsidRDefault="00171D14" w:rsidP="000460F7">
            <w:pPr>
              <w:pStyle w:val="Title"/>
              <w:keepLines/>
              <w:widowControl/>
              <w:spacing w:before="120"/>
              <w:ind w:left="0"/>
              <w:jc w:val="left"/>
              <w:rPr>
                <w:sz w:val="20"/>
                <w:szCs w:val="20"/>
              </w:rPr>
            </w:pPr>
            <w:r w:rsidRPr="009E495E">
              <w:rPr>
                <w:sz w:val="20"/>
                <w:szCs w:val="20"/>
              </w:rPr>
              <w:t>Customer service</w:t>
            </w:r>
          </w:p>
        </w:tc>
        <w:tc>
          <w:tcPr>
            <w:tcW w:w="6629" w:type="dxa"/>
          </w:tcPr>
          <w:p w14:paraId="683BC54C" w14:textId="55E424D5" w:rsidR="009B706B" w:rsidRPr="009E495E" w:rsidRDefault="00171D14" w:rsidP="000460F7">
            <w:pPr>
              <w:pStyle w:val="Title"/>
              <w:keepLines/>
              <w:widowControl/>
              <w:spacing w:before="120"/>
              <w:ind w:left="0"/>
              <w:jc w:val="left"/>
              <w:rPr>
                <w:sz w:val="20"/>
                <w:szCs w:val="20"/>
              </w:rPr>
            </w:pPr>
            <w:r w:rsidRPr="009E495E">
              <w:rPr>
                <w:sz w:val="20"/>
                <w:szCs w:val="20"/>
              </w:rPr>
              <w:t>Beneficial electrification</w:t>
            </w:r>
          </w:p>
        </w:tc>
      </w:tr>
      <w:tr w:rsidR="003E2469" w:rsidRPr="009E495E" w14:paraId="3DB159BE" w14:textId="77777777" w:rsidTr="46F26E6B">
        <w:tc>
          <w:tcPr>
            <w:tcW w:w="6331" w:type="dxa"/>
          </w:tcPr>
          <w:p w14:paraId="056FE7BB" w14:textId="5BEA5567" w:rsidR="003E2469" w:rsidRPr="009E495E" w:rsidRDefault="00171D14" w:rsidP="000460F7">
            <w:pPr>
              <w:pStyle w:val="Title"/>
              <w:keepLines/>
              <w:widowControl/>
              <w:spacing w:before="120"/>
              <w:ind w:left="0"/>
              <w:jc w:val="left"/>
              <w:rPr>
                <w:sz w:val="20"/>
                <w:szCs w:val="20"/>
              </w:rPr>
            </w:pPr>
            <w:r w:rsidRPr="009E495E">
              <w:rPr>
                <w:sz w:val="20"/>
                <w:szCs w:val="20"/>
              </w:rPr>
              <w:t>Environmental justice and equity</w:t>
            </w:r>
          </w:p>
        </w:tc>
        <w:tc>
          <w:tcPr>
            <w:tcW w:w="6629" w:type="dxa"/>
          </w:tcPr>
          <w:p w14:paraId="3119968D" w14:textId="6FECC9D7" w:rsidR="003E2469" w:rsidRPr="009E495E" w:rsidRDefault="00171D14" w:rsidP="000460F7">
            <w:pPr>
              <w:pStyle w:val="Title"/>
              <w:keepLines/>
              <w:widowControl/>
              <w:spacing w:before="120"/>
              <w:ind w:left="0"/>
              <w:jc w:val="left"/>
              <w:rPr>
                <w:sz w:val="20"/>
                <w:szCs w:val="20"/>
              </w:rPr>
            </w:pPr>
            <w:r w:rsidRPr="009E495E">
              <w:rPr>
                <w:sz w:val="20"/>
                <w:szCs w:val="20"/>
              </w:rPr>
              <w:t>Electricity decarbonization</w:t>
            </w:r>
          </w:p>
        </w:tc>
      </w:tr>
    </w:tbl>
    <w:p w14:paraId="78562669" w14:textId="30013831" w:rsidR="00231CD8" w:rsidRDefault="00231CD8" w:rsidP="000460F7">
      <w:pPr>
        <w:pStyle w:val="Title"/>
        <w:keepLines/>
        <w:widowControl/>
        <w:spacing w:before="120"/>
        <w:ind w:left="720"/>
        <w:jc w:val="left"/>
        <w:rPr>
          <w:sz w:val="22"/>
          <w:szCs w:val="22"/>
        </w:rPr>
      </w:pPr>
    </w:p>
    <w:p w14:paraId="39CA78AF" w14:textId="77777777" w:rsidR="00936B31" w:rsidRDefault="00936B31" w:rsidP="000460F7">
      <w:pPr>
        <w:pStyle w:val="Title"/>
        <w:keepLines/>
        <w:widowControl/>
        <w:spacing w:before="120"/>
        <w:ind w:left="720"/>
        <w:jc w:val="left"/>
        <w:rPr>
          <w:sz w:val="22"/>
          <w:szCs w:val="22"/>
        </w:rPr>
      </w:pPr>
    </w:p>
    <w:p w14:paraId="2906E3CB" w14:textId="77777777" w:rsidR="00936B31" w:rsidRDefault="00936B31" w:rsidP="000460F7">
      <w:pPr>
        <w:pStyle w:val="Title"/>
        <w:keepLines/>
        <w:widowControl/>
        <w:spacing w:before="120"/>
        <w:ind w:left="720"/>
        <w:jc w:val="left"/>
        <w:rPr>
          <w:sz w:val="22"/>
          <w:szCs w:val="22"/>
        </w:rPr>
      </w:pPr>
    </w:p>
    <w:p w14:paraId="6BA00325" w14:textId="77777777" w:rsidR="00936B31" w:rsidRDefault="00936B31" w:rsidP="000460F7">
      <w:pPr>
        <w:pStyle w:val="Title"/>
        <w:keepLines/>
        <w:widowControl/>
        <w:spacing w:before="120"/>
        <w:ind w:left="720"/>
        <w:jc w:val="left"/>
        <w:rPr>
          <w:sz w:val="22"/>
          <w:szCs w:val="22"/>
        </w:rPr>
      </w:pPr>
    </w:p>
    <w:p w14:paraId="0FC5380E" w14:textId="77777777" w:rsidR="00936B31" w:rsidRDefault="00936B31" w:rsidP="000460F7">
      <w:pPr>
        <w:pStyle w:val="Title"/>
        <w:keepLines/>
        <w:widowControl/>
        <w:spacing w:before="120"/>
        <w:ind w:left="720"/>
        <w:jc w:val="left"/>
        <w:rPr>
          <w:sz w:val="22"/>
          <w:szCs w:val="22"/>
        </w:rPr>
      </w:pPr>
    </w:p>
    <w:p w14:paraId="686E1DCA" w14:textId="77777777" w:rsidR="00936B31" w:rsidRDefault="00936B31" w:rsidP="000460F7">
      <w:pPr>
        <w:pStyle w:val="Title"/>
        <w:keepLines/>
        <w:widowControl/>
        <w:spacing w:before="120"/>
        <w:ind w:left="720"/>
        <w:jc w:val="left"/>
        <w:rPr>
          <w:sz w:val="22"/>
          <w:szCs w:val="22"/>
        </w:rPr>
      </w:pPr>
    </w:p>
    <w:p w14:paraId="690087EB" w14:textId="77777777" w:rsidR="00936B31" w:rsidRDefault="00936B31" w:rsidP="000460F7">
      <w:pPr>
        <w:pStyle w:val="Title"/>
        <w:keepLines/>
        <w:widowControl/>
        <w:spacing w:before="120"/>
        <w:ind w:left="720"/>
        <w:jc w:val="left"/>
        <w:rPr>
          <w:sz w:val="22"/>
          <w:szCs w:val="22"/>
        </w:rPr>
      </w:pPr>
    </w:p>
    <w:p w14:paraId="6935CEA0" w14:textId="77777777" w:rsidR="00936B31" w:rsidRDefault="00936B31" w:rsidP="000460F7">
      <w:pPr>
        <w:pStyle w:val="Title"/>
        <w:keepLines/>
        <w:widowControl/>
        <w:spacing w:before="120"/>
        <w:ind w:left="720"/>
        <w:jc w:val="left"/>
        <w:rPr>
          <w:sz w:val="22"/>
          <w:szCs w:val="22"/>
        </w:rPr>
      </w:pPr>
    </w:p>
    <w:p w14:paraId="67648F4E" w14:textId="77777777" w:rsidR="00936B31" w:rsidRPr="009E495E" w:rsidRDefault="00936B31" w:rsidP="000460F7">
      <w:pPr>
        <w:pStyle w:val="Title"/>
        <w:keepLines/>
        <w:widowControl/>
        <w:spacing w:before="120"/>
        <w:ind w:left="720"/>
        <w:jc w:val="left"/>
        <w:rPr>
          <w:sz w:val="22"/>
          <w:szCs w:val="22"/>
        </w:rPr>
      </w:pPr>
    </w:p>
    <w:p w14:paraId="2B810E4E" w14:textId="51B45664" w:rsidR="000460F7" w:rsidRPr="009E495E" w:rsidRDefault="00E70063" w:rsidP="00E70063">
      <w:pPr>
        <w:pStyle w:val="Title"/>
        <w:keepLines/>
        <w:spacing w:before="120"/>
        <w:ind w:left="180"/>
        <w:jc w:val="left"/>
        <w:rPr>
          <w:i/>
          <w:iCs/>
          <w:sz w:val="22"/>
          <w:szCs w:val="22"/>
        </w:rPr>
      </w:pPr>
      <w:r w:rsidRPr="009E495E">
        <w:rPr>
          <w:b/>
          <w:bCs/>
          <w:sz w:val="22"/>
          <w:szCs w:val="22"/>
        </w:rPr>
        <w:lastRenderedPageBreak/>
        <w:t>Regulatory Assessment</w:t>
      </w:r>
    </w:p>
    <w:tbl>
      <w:tblPr>
        <w:tblW w:w="14580" w:type="dxa"/>
        <w:tblInd w:w="-4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260"/>
        <w:gridCol w:w="1260"/>
        <w:gridCol w:w="1170"/>
        <w:gridCol w:w="3060"/>
        <w:gridCol w:w="7830"/>
      </w:tblGrid>
      <w:tr w:rsidR="005D5B59" w:rsidRPr="009E495E" w14:paraId="15DFADA7" w14:textId="77777777" w:rsidTr="65AE7816">
        <w:tc>
          <w:tcPr>
            <w:tcW w:w="1260" w:type="dxa"/>
            <w:shd w:val="clear" w:color="auto" w:fill="3B7E31"/>
          </w:tcPr>
          <w:p w14:paraId="1599EE4C" w14:textId="6F85F7D6" w:rsidR="00401D23" w:rsidRPr="009E495E" w:rsidRDefault="00401D23" w:rsidP="00BE574C">
            <w:pPr>
              <w:keepLines/>
              <w:widowControl/>
              <w:rPr>
                <w:sz w:val="18"/>
                <w:szCs w:val="20"/>
              </w:rPr>
            </w:pPr>
            <w:r w:rsidRPr="009E495E">
              <w:rPr>
                <w:b/>
                <w:color w:val="FFFFFF"/>
                <w:spacing w:val="-2"/>
                <w:sz w:val="18"/>
                <w:szCs w:val="20"/>
              </w:rPr>
              <w:t xml:space="preserve">Existing Regulatory </w:t>
            </w:r>
            <w:r w:rsidRPr="009E495E">
              <w:rPr>
                <w:b/>
                <w:color w:val="FFFFFF"/>
                <w:sz w:val="18"/>
                <w:szCs w:val="20"/>
              </w:rPr>
              <w:t>Mechanisms</w:t>
            </w:r>
            <w:r w:rsidRPr="009E495E">
              <w:rPr>
                <w:b/>
                <w:color w:val="FFFFFF"/>
                <w:spacing w:val="-14"/>
                <w:sz w:val="18"/>
                <w:szCs w:val="20"/>
              </w:rPr>
              <w:t xml:space="preserve"> </w:t>
            </w:r>
            <w:r w:rsidRPr="009E495E">
              <w:rPr>
                <w:b/>
                <w:color w:val="FFFFFF"/>
                <w:sz w:val="18"/>
                <w:szCs w:val="20"/>
              </w:rPr>
              <w:t xml:space="preserve">and </w:t>
            </w:r>
            <w:r w:rsidRPr="009E495E">
              <w:rPr>
                <w:b/>
                <w:color w:val="FFFFFF"/>
                <w:spacing w:val="-2"/>
                <w:sz w:val="18"/>
                <w:szCs w:val="20"/>
              </w:rPr>
              <w:t>Programs</w:t>
            </w:r>
          </w:p>
        </w:tc>
        <w:tc>
          <w:tcPr>
            <w:tcW w:w="1260" w:type="dxa"/>
            <w:shd w:val="clear" w:color="auto" w:fill="3B7E31"/>
          </w:tcPr>
          <w:p w14:paraId="4D5799AC" w14:textId="4ACC7316" w:rsidR="00401D23" w:rsidRPr="009E495E" w:rsidRDefault="00401D23" w:rsidP="00BE574C">
            <w:pPr>
              <w:keepLines/>
              <w:widowControl/>
              <w:rPr>
                <w:sz w:val="18"/>
                <w:szCs w:val="20"/>
              </w:rPr>
            </w:pPr>
            <w:r w:rsidRPr="009E495E">
              <w:rPr>
                <w:b/>
                <w:color w:val="FFFFFF"/>
                <w:spacing w:val="-2"/>
                <w:sz w:val="18"/>
                <w:szCs w:val="20"/>
              </w:rPr>
              <w:t>Description</w:t>
            </w:r>
          </w:p>
        </w:tc>
        <w:tc>
          <w:tcPr>
            <w:tcW w:w="1170" w:type="dxa"/>
            <w:shd w:val="clear" w:color="auto" w:fill="3B7E31"/>
          </w:tcPr>
          <w:p w14:paraId="0849196A" w14:textId="678144EC" w:rsidR="00401D23" w:rsidRPr="009E495E" w:rsidRDefault="00401D23" w:rsidP="00BE574C">
            <w:pPr>
              <w:pStyle w:val="TableParagraph"/>
              <w:keepLines/>
              <w:widowControl/>
              <w:spacing w:line="222" w:lineRule="exact"/>
              <w:ind w:right="2"/>
              <w:rPr>
                <w:b/>
                <w:color w:val="FFFFFF"/>
                <w:spacing w:val="-2"/>
                <w:sz w:val="18"/>
                <w:szCs w:val="20"/>
              </w:rPr>
            </w:pPr>
            <w:r>
              <w:rPr>
                <w:b/>
                <w:color w:val="FFFFFF"/>
                <w:spacing w:val="-2"/>
                <w:sz w:val="18"/>
                <w:szCs w:val="20"/>
              </w:rPr>
              <w:t>Primary Performance Areas Impacted</w:t>
            </w:r>
          </w:p>
        </w:tc>
        <w:tc>
          <w:tcPr>
            <w:tcW w:w="3060" w:type="dxa"/>
            <w:shd w:val="clear" w:color="auto" w:fill="3B7E31"/>
          </w:tcPr>
          <w:p w14:paraId="425B0EC7" w14:textId="6EDA3212" w:rsidR="00401D23" w:rsidRPr="009E495E" w:rsidRDefault="00401D23" w:rsidP="00BE574C">
            <w:pPr>
              <w:pStyle w:val="TableParagraph"/>
              <w:keepLines/>
              <w:widowControl/>
              <w:spacing w:line="222" w:lineRule="exact"/>
              <w:ind w:right="2"/>
              <w:rPr>
                <w:b/>
                <w:sz w:val="18"/>
                <w:szCs w:val="20"/>
              </w:rPr>
            </w:pPr>
            <w:r>
              <w:rPr>
                <w:b/>
                <w:color w:val="FFFFFF"/>
                <w:spacing w:val="-2"/>
                <w:sz w:val="18"/>
                <w:szCs w:val="20"/>
              </w:rPr>
              <w:t>Current Mechanism Design</w:t>
            </w:r>
          </w:p>
        </w:tc>
        <w:tc>
          <w:tcPr>
            <w:tcW w:w="7830" w:type="dxa"/>
            <w:shd w:val="clear" w:color="auto" w:fill="3B7E31"/>
          </w:tcPr>
          <w:p w14:paraId="3A52CF18" w14:textId="23C9B4D5" w:rsidR="00401D23" w:rsidRPr="009E495E" w:rsidRDefault="00401D23" w:rsidP="00BE1621">
            <w:pPr>
              <w:keepLines/>
              <w:widowControl/>
              <w:rPr>
                <w:sz w:val="18"/>
                <w:szCs w:val="20"/>
              </w:rPr>
            </w:pPr>
            <w:r>
              <w:rPr>
                <w:b/>
                <w:color w:val="FFFFFF"/>
                <w:sz w:val="18"/>
                <w:szCs w:val="20"/>
              </w:rPr>
              <w:t>Comparison to Best Practice</w:t>
            </w:r>
          </w:p>
        </w:tc>
      </w:tr>
      <w:tr w:rsidR="00401D23" w:rsidRPr="009E495E" w14:paraId="693A73E4" w14:textId="77777777" w:rsidTr="65AE7816">
        <w:trPr>
          <w:trHeight w:val="617"/>
        </w:trPr>
        <w:tc>
          <w:tcPr>
            <w:tcW w:w="1260" w:type="dxa"/>
            <w:vMerge w:val="restart"/>
            <w:vAlign w:val="center"/>
          </w:tcPr>
          <w:p w14:paraId="4115A2A7" w14:textId="1E46E7E7" w:rsidR="00401D23" w:rsidRPr="009E495E" w:rsidRDefault="00401D23" w:rsidP="00936B31">
            <w:pPr>
              <w:pStyle w:val="TableParagraph"/>
              <w:keepLines/>
              <w:widowControl/>
              <w:spacing w:line="266" w:lineRule="auto"/>
              <w:ind w:left="60"/>
              <w:rPr>
                <w:b/>
                <w:sz w:val="18"/>
                <w:szCs w:val="20"/>
              </w:rPr>
            </w:pPr>
            <w:r w:rsidRPr="009E495E">
              <w:rPr>
                <w:b/>
                <w:sz w:val="18"/>
                <w:szCs w:val="20"/>
              </w:rPr>
              <w:t>Rate Reviews (typically biennial)</w:t>
            </w:r>
          </w:p>
        </w:tc>
        <w:tc>
          <w:tcPr>
            <w:tcW w:w="1260" w:type="dxa"/>
          </w:tcPr>
          <w:p w14:paraId="760DC957" w14:textId="3FEFD1A9" w:rsidR="00401D23" w:rsidRPr="009E495E" w:rsidRDefault="00401D23" w:rsidP="00936B31">
            <w:pPr>
              <w:pStyle w:val="TableParagraph"/>
              <w:keepLines/>
              <w:widowControl/>
              <w:spacing w:before="98" w:line="232" w:lineRule="auto"/>
              <w:ind w:left="104" w:right="149"/>
              <w:rPr>
                <w:sz w:val="18"/>
                <w:szCs w:val="20"/>
              </w:rPr>
            </w:pPr>
            <w:r w:rsidRPr="009E495E">
              <w:rPr>
                <w:sz w:val="18"/>
                <w:szCs w:val="20"/>
              </w:rPr>
              <w:t>Forward-looking</w:t>
            </w:r>
          </w:p>
        </w:tc>
        <w:tc>
          <w:tcPr>
            <w:tcW w:w="1170" w:type="dxa"/>
            <w:vMerge w:val="restart"/>
          </w:tcPr>
          <w:p w14:paraId="3CE18F18" w14:textId="77777777" w:rsidR="00401D23" w:rsidRDefault="00401D23" w:rsidP="005E261E">
            <w:pPr>
              <w:pStyle w:val="TableParagraph"/>
              <w:keepLines/>
              <w:widowControl/>
              <w:numPr>
                <w:ilvl w:val="0"/>
                <w:numId w:val="5"/>
              </w:numPr>
              <w:ind w:left="144" w:hanging="144"/>
              <w:rPr>
                <w:sz w:val="18"/>
                <w:szCs w:val="18"/>
              </w:rPr>
            </w:pPr>
            <w:r>
              <w:rPr>
                <w:sz w:val="18"/>
                <w:szCs w:val="18"/>
              </w:rPr>
              <w:t>Affordability</w:t>
            </w:r>
          </w:p>
          <w:p w14:paraId="1F06B4FF" w14:textId="0E753D04" w:rsidR="00401D23" w:rsidRPr="001968A5" w:rsidRDefault="00401D23" w:rsidP="005E261E">
            <w:pPr>
              <w:pStyle w:val="TableParagraph"/>
              <w:keepLines/>
              <w:widowControl/>
              <w:numPr>
                <w:ilvl w:val="0"/>
                <w:numId w:val="5"/>
              </w:numPr>
              <w:ind w:left="144" w:hanging="144"/>
              <w:rPr>
                <w:sz w:val="18"/>
                <w:szCs w:val="18"/>
              </w:rPr>
            </w:pPr>
            <w:r>
              <w:rPr>
                <w:sz w:val="18"/>
                <w:szCs w:val="18"/>
              </w:rPr>
              <w:t>Cost-efficient utility investments and operations</w:t>
            </w:r>
          </w:p>
        </w:tc>
        <w:tc>
          <w:tcPr>
            <w:tcW w:w="3060" w:type="dxa"/>
            <w:vMerge w:val="restart"/>
          </w:tcPr>
          <w:p w14:paraId="6F524AB2" w14:textId="5BA8D870" w:rsidR="00401D23" w:rsidRPr="001968A5" w:rsidRDefault="00401D23" w:rsidP="00936B31">
            <w:pPr>
              <w:pStyle w:val="TableParagraph"/>
              <w:keepLines/>
              <w:widowControl/>
              <w:rPr>
                <w:sz w:val="18"/>
                <w:szCs w:val="18"/>
              </w:rPr>
            </w:pPr>
            <w:r w:rsidRPr="001968A5">
              <w:rPr>
                <w:sz w:val="18"/>
                <w:szCs w:val="18"/>
              </w:rPr>
              <w:t>Virginia currently employs a two-year rate case cycle, after recently transitioning from a three-year cycle.</w:t>
            </w:r>
            <w:r>
              <w:rPr>
                <w:sz w:val="18"/>
                <w:szCs w:val="18"/>
              </w:rPr>
              <w:t xml:space="preserve"> </w:t>
            </w:r>
          </w:p>
          <w:p w14:paraId="2D20D1E3" w14:textId="77777777" w:rsidR="00401D23" w:rsidRPr="001968A5" w:rsidRDefault="00401D23" w:rsidP="00936B31">
            <w:pPr>
              <w:pStyle w:val="TableParagraph"/>
              <w:keepLines/>
              <w:widowControl/>
              <w:rPr>
                <w:sz w:val="18"/>
                <w:szCs w:val="18"/>
              </w:rPr>
            </w:pPr>
          </w:p>
          <w:p w14:paraId="47B9F995" w14:textId="4F945451" w:rsidR="00401D23" w:rsidRPr="001968A5" w:rsidRDefault="00401D23" w:rsidP="00936B31">
            <w:pPr>
              <w:pStyle w:val="TableParagraph"/>
              <w:keepLines/>
              <w:widowControl/>
              <w:rPr>
                <w:sz w:val="18"/>
                <w:szCs w:val="18"/>
              </w:rPr>
            </w:pPr>
            <w:r>
              <w:rPr>
                <w:sz w:val="18"/>
                <w:szCs w:val="18"/>
              </w:rPr>
              <w:t xml:space="preserve">Virginia has an </w:t>
            </w:r>
            <w:r w:rsidRPr="001968A5">
              <w:rPr>
                <w:b/>
                <w:bCs/>
                <w:sz w:val="18"/>
                <w:szCs w:val="18"/>
              </w:rPr>
              <w:t>earnings sharing mechanism</w:t>
            </w:r>
            <w:r>
              <w:rPr>
                <w:b/>
                <w:bCs/>
                <w:sz w:val="18"/>
                <w:szCs w:val="18"/>
              </w:rPr>
              <w:t xml:space="preserve"> </w:t>
            </w:r>
            <w:r w:rsidRPr="00B95A62">
              <w:rPr>
                <w:sz w:val="18"/>
                <w:szCs w:val="18"/>
              </w:rPr>
              <w:t>in place for its investor-owned utilities</w:t>
            </w:r>
            <w:r w:rsidRPr="001968A5">
              <w:rPr>
                <w:sz w:val="18"/>
                <w:szCs w:val="18"/>
              </w:rPr>
              <w:t>.</w:t>
            </w:r>
            <w:r>
              <w:rPr>
                <w:sz w:val="18"/>
                <w:szCs w:val="18"/>
              </w:rPr>
              <w:t xml:space="preserve"> VA </w:t>
            </w:r>
            <w:r w:rsidRPr="001968A5">
              <w:rPr>
                <w:sz w:val="18"/>
                <w:szCs w:val="18"/>
              </w:rPr>
              <w:t xml:space="preserve">Code § 56-585.1 A 9 b requires earnings sharing for Dominion and </w:t>
            </w:r>
            <w:proofErr w:type="spellStart"/>
            <w:r w:rsidRPr="001968A5">
              <w:rPr>
                <w:sz w:val="18"/>
                <w:szCs w:val="18"/>
              </w:rPr>
              <w:t>APCo</w:t>
            </w:r>
            <w:proofErr w:type="spellEnd"/>
            <w:r w:rsidRPr="001968A5">
              <w:rPr>
                <w:sz w:val="18"/>
                <w:szCs w:val="18"/>
              </w:rPr>
              <w:t xml:space="preserve"> and requires refunds of base generation and distribution revenues to customers if authorized ROE is exceeded. For Dominion, 85% of earnings above authorized ROE are returned to customers, up to 150 basis points above ROE. If overearnings exceed 150 basis points above ROE, 100% of earnings are returned to customers. For </w:t>
            </w:r>
            <w:proofErr w:type="spellStart"/>
            <w:r w:rsidRPr="001968A5">
              <w:rPr>
                <w:sz w:val="18"/>
                <w:szCs w:val="18"/>
              </w:rPr>
              <w:t>APCo</w:t>
            </w:r>
            <w:proofErr w:type="spellEnd"/>
            <w:r>
              <w:rPr>
                <w:sz w:val="18"/>
                <w:szCs w:val="18"/>
              </w:rPr>
              <w:t>,</w:t>
            </w:r>
            <w:r w:rsidRPr="001968A5">
              <w:rPr>
                <w:sz w:val="18"/>
                <w:szCs w:val="18"/>
              </w:rPr>
              <w:t xml:space="preserve"> 100% of overearnings above 100 bps threshold are returned to customers, but there is no sharing until 100 bps is reached.  </w:t>
            </w:r>
          </w:p>
          <w:p w14:paraId="44A89123" w14:textId="77777777" w:rsidR="00401D23" w:rsidRPr="001968A5" w:rsidRDefault="00401D23" w:rsidP="00936B31">
            <w:pPr>
              <w:pStyle w:val="TableParagraph"/>
              <w:keepLines/>
              <w:widowControl/>
              <w:rPr>
                <w:sz w:val="18"/>
                <w:szCs w:val="18"/>
              </w:rPr>
            </w:pPr>
          </w:p>
          <w:p w14:paraId="3DB3E767" w14:textId="77777777" w:rsidR="00401D23" w:rsidRPr="001968A5" w:rsidRDefault="00401D23" w:rsidP="00936B31">
            <w:pPr>
              <w:pStyle w:val="p1"/>
              <w:rPr>
                <w:rFonts w:ascii="Arial" w:hAnsi="Arial" w:cs="Arial"/>
                <w:color w:val="auto"/>
                <w:sz w:val="18"/>
                <w:szCs w:val="18"/>
              </w:rPr>
            </w:pPr>
          </w:p>
          <w:p w14:paraId="05C06D3E" w14:textId="77777777" w:rsidR="00401D23" w:rsidRPr="001968A5" w:rsidRDefault="00401D23" w:rsidP="00936B31">
            <w:pPr>
              <w:pStyle w:val="p1"/>
              <w:rPr>
                <w:rFonts w:ascii="Arial" w:hAnsi="Arial" w:cs="Arial"/>
                <w:color w:val="auto"/>
                <w:sz w:val="18"/>
                <w:szCs w:val="18"/>
              </w:rPr>
            </w:pPr>
          </w:p>
          <w:p w14:paraId="24C1DD4C" w14:textId="277C78B7" w:rsidR="00401D23" w:rsidRPr="001968A5" w:rsidRDefault="00401D23" w:rsidP="00936B31">
            <w:pPr>
              <w:pStyle w:val="p1"/>
              <w:rPr>
                <w:rFonts w:ascii="Arial" w:hAnsi="Arial" w:cs="Arial"/>
                <w:color w:val="auto"/>
                <w:sz w:val="18"/>
                <w:szCs w:val="18"/>
              </w:rPr>
            </w:pPr>
          </w:p>
        </w:tc>
        <w:tc>
          <w:tcPr>
            <w:tcW w:w="7830" w:type="dxa"/>
            <w:vMerge w:val="restart"/>
          </w:tcPr>
          <w:p w14:paraId="23360A84" w14:textId="35439A1A" w:rsidR="002104AC" w:rsidRPr="002104AC" w:rsidRDefault="002104AC" w:rsidP="00D651D0">
            <w:pPr>
              <w:pStyle w:val="TableParagraph"/>
              <w:keepLines/>
              <w:widowControl/>
              <w:rPr>
                <w:sz w:val="18"/>
                <w:szCs w:val="18"/>
                <w:u w:val="single"/>
              </w:rPr>
            </w:pPr>
            <w:r w:rsidRPr="002104AC">
              <w:rPr>
                <w:sz w:val="18"/>
                <w:szCs w:val="18"/>
                <w:u w:val="single"/>
              </w:rPr>
              <w:t>Multi-Year Rate Plans</w:t>
            </w:r>
          </w:p>
          <w:p w14:paraId="42AAEA22" w14:textId="37FE2805" w:rsidR="00401D23" w:rsidRPr="001968A5" w:rsidRDefault="00401D23" w:rsidP="00D651D0">
            <w:pPr>
              <w:pStyle w:val="TableParagraph"/>
              <w:keepLines/>
              <w:widowControl/>
              <w:rPr>
                <w:sz w:val="18"/>
                <w:szCs w:val="18"/>
              </w:rPr>
            </w:pPr>
            <w:r w:rsidRPr="001968A5" w:rsidDel="00B423AC">
              <w:rPr>
                <w:sz w:val="18"/>
                <w:szCs w:val="18"/>
              </w:rPr>
              <w:t>I</w:t>
            </w:r>
            <w:r w:rsidRPr="001968A5">
              <w:rPr>
                <w:sz w:val="18"/>
                <w:szCs w:val="18"/>
              </w:rPr>
              <w:t xml:space="preserve">n general, the two-year rate cycle may result in a high administrative burden. Frequent rate cases may also undermine </w:t>
            </w:r>
            <w:r w:rsidRPr="001968A5">
              <w:rPr>
                <w:b/>
                <w:bCs/>
                <w:sz w:val="18"/>
                <w:szCs w:val="18"/>
              </w:rPr>
              <w:t xml:space="preserve">affordability </w:t>
            </w:r>
            <w:r w:rsidRPr="001968A5">
              <w:rPr>
                <w:sz w:val="18"/>
                <w:szCs w:val="18"/>
              </w:rPr>
              <w:t xml:space="preserve">and </w:t>
            </w:r>
            <w:r w:rsidRPr="001968A5">
              <w:rPr>
                <w:b/>
                <w:bCs/>
                <w:sz w:val="18"/>
                <w:szCs w:val="18"/>
              </w:rPr>
              <w:t xml:space="preserve">cost containment </w:t>
            </w:r>
            <w:r w:rsidRPr="001968A5">
              <w:rPr>
                <w:sz w:val="18"/>
                <w:szCs w:val="18"/>
              </w:rPr>
              <w:t>goals</w:t>
            </w:r>
            <w:r w:rsidR="003A7EB6">
              <w:rPr>
                <w:sz w:val="18"/>
                <w:szCs w:val="18"/>
              </w:rPr>
              <w:t xml:space="preserve"> by reducing regulatory lag</w:t>
            </w:r>
            <w:r w:rsidR="00960799">
              <w:rPr>
                <w:sz w:val="18"/>
                <w:szCs w:val="18"/>
              </w:rPr>
              <w:t xml:space="preserve"> </w:t>
            </w:r>
            <w:r w:rsidR="00960799" w:rsidRPr="00946AF1">
              <w:rPr>
                <w:sz w:val="18"/>
                <w:szCs w:val="18"/>
              </w:rPr>
              <w:t>(i.e., the time between when a utility</w:t>
            </w:r>
            <w:r w:rsidR="00960799">
              <w:rPr>
                <w:sz w:val="18"/>
                <w:szCs w:val="18"/>
              </w:rPr>
              <w:t xml:space="preserve"> </w:t>
            </w:r>
            <w:r w:rsidR="00960799" w:rsidRPr="00946AF1">
              <w:rPr>
                <w:sz w:val="18"/>
                <w:szCs w:val="18"/>
              </w:rPr>
              <w:t>incurs a cost and the time when it recovers that cost via rates)</w:t>
            </w:r>
            <w:r w:rsidRPr="001968A5">
              <w:rPr>
                <w:sz w:val="18"/>
                <w:szCs w:val="18"/>
              </w:rPr>
              <w:t xml:space="preserve">. VA could consider authorizing the use of </w:t>
            </w:r>
            <w:r w:rsidRPr="001968A5">
              <w:rPr>
                <w:b/>
                <w:bCs/>
                <w:sz w:val="18"/>
                <w:szCs w:val="18"/>
              </w:rPr>
              <w:t>multi-year rate plans (MRPs)</w:t>
            </w:r>
            <w:r w:rsidRPr="001968A5">
              <w:rPr>
                <w:sz w:val="18"/>
                <w:szCs w:val="18"/>
              </w:rPr>
              <w:t xml:space="preserve">. MRPs with a longer term length (e.g. 3-5 years) may provide benefits over the two-year rate case structure currently in place. Numerous jurisdictions around the </w:t>
            </w:r>
            <w:r w:rsidR="00FB5D56">
              <w:rPr>
                <w:sz w:val="18"/>
                <w:szCs w:val="18"/>
              </w:rPr>
              <w:t>world</w:t>
            </w:r>
            <w:r w:rsidR="00FB5D56" w:rsidRPr="001968A5">
              <w:rPr>
                <w:sz w:val="18"/>
                <w:szCs w:val="18"/>
              </w:rPr>
              <w:t xml:space="preserve"> </w:t>
            </w:r>
            <w:r w:rsidRPr="001968A5">
              <w:rPr>
                <w:sz w:val="18"/>
                <w:szCs w:val="18"/>
              </w:rPr>
              <w:t>have seen success in transitioning to an MRP structure</w:t>
            </w:r>
            <w:r w:rsidR="00C9579B">
              <w:rPr>
                <w:sz w:val="18"/>
                <w:szCs w:val="18"/>
              </w:rPr>
              <w:t xml:space="preserve">. </w:t>
            </w:r>
            <w:r w:rsidR="00580487">
              <w:rPr>
                <w:sz w:val="18"/>
                <w:szCs w:val="18"/>
              </w:rPr>
              <w:t>A</w:t>
            </w:r>
            <w:r w:rsidRPr="001968A5">
              <w:rPr>
                <w:sz w:val="18"/>
                <w:szCs w:val="18"/>
              </w:rPr>
              <w:t xml:space="preserve"> well-designed MRP can create a strong cost-containment incentive for the utility</w:t>
            </w:r>
            <w:r w:rsidR="00253239">
              <w:rPr>
                <w:sz w:val="18"/>
                <w:szCs w:val="18"/>
              </w:rPr>
              <w:t>, while</w:t>
            </w:r>
            <w:r w:rsidRPr="001968A5">
              <w:rPr>
                <w:sz w:val="18"/>
                <w:szCs w:val="18"/>
              </w:rPr>
              <w:t xml:space="preserve"> also reduc</w:t>
            </w:r>
            <w:r w:rsidR="00253239">
              <w:rPr>
                <w:sz w:val="18"/>
                <w:szCs w:val="18"/>
              </w:rPr>
              <w:t>ing</w:t>
            </w:r>
            <w:r w:rsidRPr="001968A5">
              <w:rPr>
                <w:sz w:val="18"/>
                <w:szCs w:val="18"/>
              </w:rPr>
              <w:t xml:space="preserve"> the expenses associated with frequent rate cases. </w:t>
            </w:r>
          </w:p>
          <w:p w14:paraId="31E4EC53" w14:textId="77777777" w:rsidR="00401D23" w:rsidRPr="001968A5" w:rsidRDefault="00401D23" w:rsidP="00D651D0">
            <w:pPr>
              <w:pStyle w:val="TableParagraph"/>
              <w:keepLines/>
              <w:widowControl/>
              <w:rPr>
                <w:sz w:val="18"/>
                <w:szCs w:val="18"/>
              </w:rPr>
            </w:pPr>
          </w:p>
          <w:p w14:paraId="364AFB0E" w14:textId="2A8B4D80" w:rsidR="00401D23" w:rsidRPr="001968A5" w:rsidRDefault="00401D23" w:rsidP="00D651D0">
            <w:pPr>
              <w:pStyle w:val="TableParagraph"/>
              <w:keepLines/>
              <w:widowControl/>
              <w:rPr>
                <w:sz w:val="18"/>
                <w:szCs w:val="18"/>
              </w:rPr>
            </w:pPr>
            <w:r w:rsidRPr="001968A5">
              <w:rPr>
                <w:sz w:val="18"/>
                <w:szCs w:val="18"/>
              </w:rPr>
              <w:t>The magnitude of these benefits will depend on the specific design of the MRP, such</w:t>
            </w:r>
            <w:r w:rsidR="004B2755">
              <w:rPr>
                <w:sz w:val="18"/>
                <w:szCs w:val="18"/>
              </w:rPr>
              <w:t xml:space="preserve"> as</w:t>
            </w:r>
            <w:r w:rsidRPr="001968A5">
              <w:rPr>
                <w:sz w:val="18"/>
                <w:szCs w:val="18"/>
              </w:rPr>
              <w:t xml:space="preserve"> term length, the design of </w:t>
            </w:r>
            <w:r w:rsidR="001A291B">
              <w:rPr>
                <w:sz w:val="18"/>
                <w:szCs w:val="18"/>
              </w:rPr>
              <w:t xml:space="preserve">a </w:t>
            </w:r>
            <w:r w:rsidR="004225FD">
              <w:rPr>
                <w:b/>
                <w:bCs/>
                <w:sz w:val="18"/>
                <w:szCs w:val="18"/>
              </w:rPr>
              <w:t>r</w:t>
            </w:r>
            <w:r w:rsidR="001A291B" w:rsidRPr="00D76F6F">
              <w:rPr>
                <w:b/>
                <w:sz w:val="18"/>
                <w:szCs w:val="18"/>
              </w:rPr>
              <w:t xml:space="preserve">evenue </w:t>
            </w:r>
            <w:r w:rsidR="004225FD">
              <w:rPr>
                <w:b/>
                <w:bCs/>
                <w:sz w:val="18"/>
                <w:szCs w:val="18"/>
              </w:rPr>
              <w:t>c</w:t>
            </w:r>
            <w:r w:rsidR="001A291B" w:rsidRPr="00D76F6F">
              <w:rPr>
                <w:b/>
                <w:sz w:val="18"/>
                <w:szCs w:val="18"/>
              </w:rPr>
              <w:t>ap</w:t>
            </w:r>
            <w:r w:rsidR="001A291B">
              <w:rPr>
                <w:sz w:val="18"/>
                <w:szCs w:val="18"/>
              </w:rPr>
              <w:t xml:space="preserve"> and </w:t>
            </w:r>
            <w:r w:rsidRPr="001968A5">
              <w:rPr>
                <w:sz w:val="18"/>
                <w:szCs w:val="18"/>
              </w:rPr>
              <w:t xml:space="preserve">an </w:t>
            </w:r>
            <w:r w:rsidR="004225FD">
              <w:rPr>
                <w:b/>
                <w:bCs/>
                <w:sz w:val="18"/>
                <w:szCs w:val="18"/>
              </w:rPr>
              <w:t>a</w:t>
            </w:r>
            <w:r w:rsidRPr="001968A5">
              <w:rPr>
                <w:b/>
                <w:bCs/>
                <w:sz w:val="18"/>
                <w:szCs w:val="18"/>
              </w:rPr>
              <w:t xml:space="preserve">ttrition </w:t>
            </w:r>
            <w:r w:rsidR="004225FD">
              <w:rPr>
                <w:b/>
                <w:bCs/>
                <w:sz w:val="18"/>
                <w:szCs w:val="18"/>
              </w:rPr>
              <w:t>r</w:t>
            </w:r>
            <w:r w:rsidRPr="001968A5">
              <w:rPr>
                <w:b/>
                <w:bCs/>
                <w:sz w:val="18"/>
                <w:szCs w:val="18"/>
              </w:rPr>
              <w:t xml:space="preserve">elief </w:t>
            </w:r>
            <w:r w:rsidR="004225FD">
              <w:rPr>
                <w:b/>
                <w:bCs/>
                <w:sz w:val="18"/>
                <w:szCs w:val="18"/>
              </w:rPr>
              <w:t>m</w:t>
            </w:r>
            <w:r w:rsidRPr="001968A5">
              <w:rPr>
                <w:b/>
                <w:bCs/>
                <w:sz w:val="18"/>
                <w:szCs w:val="18"/>
              </w:rPr>
              <w:t>echanism (ARM),</w:t>
            </w:r>
            <w:r w:rsidRPr="001968A5">
              <w:rPr>
                <w:sz w:val="18"/>
                <w:szCs w:val="18"/>
              </w:rPr>
              <w:t xml:space="preserve"> the design of an</w:t>
            </w:r>
            <w:r w:rsidRPr="001968A5">
              <w:rPr>
                <w:b/>
                <w:bCs/>
                <w:sz w:val="18"/>
                <w:szCs w:val="18"/>
              </w:rPr>
              <w:t xml:space="preserve"> </w:t>
            </w:r>
            <w:r w:rsidR="004225FD">
              <w:rPr>
                <w:b/>
                <w:bCs/>
                <w:sz w:val="18"/>
                <w:szCs w:val="18"/>
              </w:rPr>
              <w:t>e</w:t>
            </w:r>
            <w:r w:rsidRPr="001968A5">
              <w:rPr>
                <w:b/>
                <w:bCs/>
                <w:sz w:val="18"/>
                <w:szCs w:val="18"/>
              </w:rPr>
              <w:t xml:space="preserve">arnings </w:t>
            </w:r>
            <w:r w:rsidR="004225FD">
              <w:rPr>
                <w:b/>
                <w:bCs/>
                <w:sz w:val="18"/>
                <w:szCs w:val="18"/>
              </w:rPr>
              <w:t>s</w:t>
            </w:r>
            <w:r w:rsidRPr="001968A5">
              <w:rPr>
                <w:b/>
                <w:bCs/>
                <w:sz w:val="18"/>
                <w:szCs w:val="18"/>
              </w:rPr>
              <w:t xml:space="preserve">haring </w:t>
            </w:r>
            <w:r w:rsidR="004225FD">
              <w:rPr>
                <w:b/>
                <w:bCs/>
                <w:sz w:val="18"/>
                <w:szCs w:val="18"/>
              </w:rPr>
              <w:t>m</w:t>
            </w:r>
            <w:r w:rsidRPr="001968A5">
              <w:rPr>
                <w:b/>
                <w:bCs/>
                <w:sz w:val="18"/>
                <w:szCs w:val="18"/>
              </w:rPr>
              <w:t>echanism (ESM</w:t>
            </w:r>
            <w:r w:rsidRPr="001968A5" w:rsidDel="004B2755">
              <w:rPr>
                <w:b/>
                <w:sz w:val="18"/>
                <w:szCs w:val="18"/>
              </w:rPr>
              <w:t>)</w:t>
            </w:r>
            <w:r w:rsidRPr="001968A5">
              <w:rPr>
                <w:sz w:val="18"/>
                <w:szCs w:val="18"/>
              </w:rPr>
              <w:t xml:space="preserve">, and the prevalence of cost trackers. Limiting the use of cost trackers as part an MRP can prevent undermining cost-containment incentives that the MRP creates (see more discussion on cost trackers below). </w:t>
            </w:r>
          </w:p>
          <w:p w14:paraId="758E05D3" w14:textId="77777777" w:rsidR="00401D23" w:rsidRPr="001968A5" w:rsidRDefault="00401D23" w:rsidP="00D651D0">
            <w:pPr>
              <w:pStyle w:val="TableParagraph"/>
              <w:keepLines/>
              <w:widowControl/>
              <w:rPr>
                <w:sz w:val="18"/>
                <w:szCs w:val="18"/>
              </w:rPr>
            </w:pPr>
          </w:p>
          <w:p w14:paraId="2075B1F6" w14:textId="58E462F3" w:rsidR="00346319" w:rsidRPr="001968A5" w:rsidRDefault="005E5F5F" w:rsidP="00D651D0">
            <w:pPr>
              <w:pStyle w:val="TableParagraph"/>
              <w:keepLines/>
              <w:widowControl/>
              <w:rPr>
                <w:sz w:val="18"/>
                <w:szCs w:val="18"/>
              </w:rPr>
            </w:pPr>
            <w:r>
              <w:rPr>
                <w:sz w:val="18"/>
                <w:szCs w:val="18"/>
              </w:rPr>
              <w:t xml:space="preserve">U.S. utility </w:t>
            </w:r>
            <w:r w:rsidR="00401D23" w:rsidRPr="001968A5">
              <w:rPr>
                <w:sz w:val="18"/>
                <w:szCs w:val="18"/>
              </w:rPr>
              <w:t>MRPs</w:t>
            </w:r>
            <w:r w:rsidR="001A291B">
              <w:rPr>
                <w:sz w:val="18"/>
                <w:szCs w:val="18"/>
              </w:rPr>
              <w:t xml:space="preserve"> </w:t>
            </w:r>
            <w:r w:rsidR="00401D23" w:rsidRPr="001968A5">
              <w:rPr>
                <w:sz w:val="18"/>
                <w:szCs w:val="18"/>
              </w:rPr>
              <w:t>generally include a</w:t>
            </w:r>
            <w:r w:rsidR="001A291B">
              <w:rPr>
                <w:sz w:val="18"/>
                <w:szCs w:val="18"/>
              </w:rPr>
              <w:t xml:space="preserve"> </w:t>
            </w:r>
            <w:r w:rsidR="006F102F">
              <w:rPr>
                <w:b/>
                <w:bCs/>
                <w:sz w:val="18"/>
                <w:szCs w:val="18"/>
              </w:rPr>
              <w:t>r</w:t>
            </w:r>
            <w:r w:rsidR="001A291B" w:rsidRPr="009C2C21">
              <w:rPr>
                <w:b/>
                <w:sz w:val="18"/>
                <w:szCs w:val="18"/>
              </w:rPr>
              <w:t xml:space="preserve">evenue </w:t>
            </w:r>
            <w:r w:rsidR="006F102F">
              <w:rPr>
                <w:b/>
                <w:bCs/>
                <w:sz w:val="18"/>
                <w:szCs w:val="18"/>
              </w:rPr>
              <w:t>c</w:t>
            </w:r>
            <w:r w:rsidR="001A291B" w:rsidRPr="009C2C21">
              <w:rPr>
                <w:b/>
                <w:sz w:val="18"/>
                <w:szCs w:val="18"/>
              </w:rPr>
              <w:t>ap</w:t>
            </w:r>
            <w:r w:rsidR="001A291B">
              <w:rPr>
                <w:sz w:val="18"/>
                <w:szCs w:val="18"/>
              </w:rPr>
              <w:t xml:space="preserve"> and </w:t>
            </w:r>
            <w:r w:rsidR="00A600A3">
              <w:rPr>
                <w:sz w:val="18"/>
                <w:szCs w:val="18"/>
              </w:rPr>
              <w:t>a</w:t>
            </w:r>
            <w:r w:rsidR="00401D23" w:rsidRPr="001968A5">
              <w:rPr>
                <w:sz w:val="18"/>
                <w:szCs w:val="18"/>
              </w:rPr>
              <w:t xml:space="preserve">n </w:t>
            </w:r>
            <w:r w:rsidR="00401D23" w:rsidRPr="001968A5">
              <w:rPr>
                <w:b/>
                <w:bCs/>
                <w:sz w:val="18"/>
                <w:szCs w:val="18"/>
              </w:rPr>
              <w:t xml:space="preserve">ARM, </w:t>
            </w:r>
            <w:r w:rsidR="00401D23" w:rsidRPr="001968A5">
              <w:rPr>
                <w:sz w:val="18"/>
                <w:szCs w:val="18"/>
              </w:rPr>
              <w:t xml:space="preserve">which serves as a mechanism for adjusting base rates during the MRP term. An index-based ARM, informed by </w:t>
            </w:r>
            <w:r w:rsidR="001575E2">
              <w:rPr>
                <w:sz w:val="18"/>
                <w:szCs w:val="18"/>
              </w:rPr>
              <w:t xml:space="preserve">external </w:t>
            </w:r>
            <w:r w:rsidR="000B0381">
              <w:rPr>
                <w:sz w:val="18"/>
                <w:szCs w:val="18"/>
              </w:rPr>
              <w:t>cost drivers</w:t>
            </w:r>
            <w:r w:rsidR="00401D23" w:rsidRPr="001968A5">
              <w:rPr>
                <w:sz w:val="18"/>
                <w:szCs w:val="18"/>
              </w:rPr>
              <w:t xml:space="preserve">, </w:t>
            </w:r>
            <w:r w:rsidR="00401D23" w:rsidRPr="001968A5" w:rsidDel="006F102F">
              <w:rPr>
                <w:sz w:val="18"/>
                <w:szCs w:val="18"/>
              </w:rPr>
              <w:t xml:space="preserve">can </w:t>
            </w:r>
            <w:r w:rsidR="00401D23" w:rsidRPr="001968A5">
              <w:rPr>
                <w:sz w:val="18"/>
                <w:szCs w:val="18"/>
              </w:rPr>
              <w:t>create a stronger cost-containment incentive than tying allowed revenues to the utility’s own spending forecasts.</w:t>
            </w:r>
            <w:r w:rsidR="005F41D9">
              <w:rPr>
                <w:sz w:val="18"/>
                <w:szCs w:val="18"/>
              </w:rPr>
              <w:t xml:space="preserve"> </w:t>
            </w:r>
            <w:r w:rsidR="00104D74">
              <w:rPr>
                <w:sz w:val="18"/>
                <w:szCs w:val="18"/>
              </w:rPr>
              <w:t>Generally, u</w:t>
            </w:r>
            <w:r w:rsidR="005F41D9">
              <w:rPr>
                <w:sz w:val="18"/>
                <w:szCs w:val="18"/>
              </w:rPr>
              <w:t>nder</w:t>
            </w:r>
            <w:r w:rsidR="005A7A3F">
              <w:rPr>
                <w:sz w:val="18"/>
                <w:szCs w:val="18"/>
              </w:rPr>
              <w:t xml:space="preserve"> a</w:t>
            </w:r>
            <w:r w:rsidR="005F41D9">
              <w:rPr>
                <w:sz w:val="18"/>
                <w:szCs w:val="18"/>
              </w:rPr>
              <w:t xml:space="preserve"> </w:t>
            </w:r>
            <w:r w:rsidR="006F102F">
              <w:rPr>
                <w:b/>
                <w:bCs/>
                <w:sz w:val="18"/>
                <w:szCs w:val="18"/>
              </w:rPr>
              <w:t>r</w:t>
            </w:r>
            <w:r w:rsidR="005F41D9" w:rsidRPr="000C5336">
              <w:rPr>
                <w:b/>
                <w:sz w:val="18"/>
                <w:szCs w:val="18"/>
              </w:rPr>
              <w:t xml:space="preserve">evenue </w:t>
            </w:r>
            <w:r w:rsidR="006F102F">
              <w:rPr>
                <w:b/>
                <w:bCs/>
                <w:sz w:val="18"/>
                <w:szCs w:val="18"/>
              </w:rPr>
              <w:t>c</w:t>
            </w:r>
            <w:r w:rsidR="005F41D9" w:rsidRPr="000C5336">
              <w:rPr>
                <w:b/>
                <w:sz w:val="18"/>
                <w:szCs w:val="18"/>
              </w:rPr>
              <w:t>ap</w:t>
            </w:r>
            <w:r w:rsidR="005F41D9">
              <w:rPr>
                <w:sz w:val="18"/>
                <w:szCs w:val="18"/>
              </w:rPr>
              <w:t>,</w:t>
            </w:r>
            <w:r w:rsidR="00401D23" w:rsidRPr="001968A5">
              <w:rPr>
                <w:sz w:val="18"/>
                <w:szCs w:val="18"/>
              </w:rPr>
              <w:t xml:space="preserve"> </w:t>
            </w:r>
            <w:r w:rsidR="00FD73DA">
              <w:rPr>
                <w:sz w:val="18"/>
                <w:szCs w:val="18"/>
              </w:rPr>
              <w:t>i</w:t>
            </w:r>
            <w:r w:rsidR="00401D23" w:rsidRPr="001968A5">
              <w:rPr>
                <w:sz w:val="18"/>
                <w:szCs w:val="18"/>
              </w:rPr>
              <w:t>f</w:t>
            </w:r>
            <w:r w:rsidR="00401D23" w:rsidRPr="001968A5" w:rsidDel="00FD73DA">
              <w:rPr>
                <w:sz w:val="18"/>
                <w:szCs w:val="18"/>
              </w:rPr>
              <w:t xml:space="preserve"> </w:t>
            </w:r>
            <w:r w:rsidR="00FD73DA">
              <w:rPr>
                <w:sz w:val="18"/>
                <w:szCs w:val="18"/>
              </w:rPr>
              <w:t>a</w:t>
            </w:r>
            <w:r w:rsidR="00FD73DA" w:rsidRPr="001968A5">
              <w:rPr>
                <w:sz w:val="18"/>
                <w:szCs w:val="18"/>
              </w:rPr>
              <w:t xml:space="preserve"> </w:t>
            </w:r>
            <w:r w:rsidR="00401D23" w:rsidRPr="001968A5">
              <w:rPr>
                <w:sz w:val="18"/>
                <w:szCs w:val="18"/>
              </w:rPr>
              <w:t>utility manages to achieve savings in the costs recovered by base rates, it can benefit financially from those savings for longer than it would be able to under traditional</w:t>
            </w:r>
            <w:r w:rsidR="00E43AC5">
              <w:rPr>
                <w:sz w:val="18"/>
                <w:szCs w:val="18"/>
              </w:rPr>
              <w:t xml:space="preserve"> cost-of-service regulation (</w:t>
            </w:r>
            <w:r w:rsidR="00401D23" w:rsidRPr="001968A5">
              <w:rPr>
                <w:sz w:val="18"/>
                <w:szCs w:val="18"/>
              </w:rPr>
              <w:t>COSR</w:t>
            </w:r>
            <w:r w:rsidR="00E43AC5">
              <w:rPr>
                <w:sz w:val="18"/>
                <w:szCs w:val="18"/>
              </w:rPr>
              <w:t>)</w:t>
            </w:r>
            <w:r w:rsidR="00401D23" w:rsidRPr="001968A5">
              <w:rPr>
                <w:sz w:val="18"/>
                <w:szCs w:val="18"/>
              </w:rPr>
              <w:t xml:space="preserve"> — creating an incentive for it to seek cost-savings opportunities. MRPs can also be designed to include safeguards, such as </w:t>
            </w:r>
            <w:r w:rsidR="00401D23" w:rsidRPr="000C5336">
              <w:rPr>
                <w:b/>
                <w:sz w:val="18"/>
                <w:szCs w:val="18"/>
              </w:rPr>
              <w:t>ESMs</w:t>
            </w:r>
            <w:r w:rsidR="00401D23" w:rsidRPr="001968A5">
              <w:rPr>
                <w:sz w:val="18"/>
                <w:szCs w:val="18"/>
              </w:rPr>
              <w:t xml:space="preserve"> and </w:t>
            </w:r>
            <w:r w:rsidR="00401D23" w:rsidRPr="009F1064">
              <w:rPr>
                <w:b/>
                <w:sz w:val="18"/>
                <w:szCs w:val="18"/>
              </w:rPr>
              <w:t>off-ramps</w:t>
            </w:r>
            <w:r w:rsidR="00401D23" w:rsidRPr="001968A5">
              <w:rPr>
                <w:sz w:val="18"/>
                <w:szCs w:val="18"/>
              </w:rPr>
              <w:t xml:space="preserve">, which provide guardrails throughout the </w:t>
            </w:r>
            <w:r w:rsidR="00161CEA">
              <w:rPr>
                <w:sz w:val="18"/>
                <w:szCs w:val="18"/>
              </w:rPr>
              <w:t xml:space="preserve">multi-year </w:t>
            </w:r>
            <w:r w:rsidR="00401D23" w:rsidRPr="001968A5">
              <w:rPr>
                <w:sz w:val="18"/>
                <w:szCs w:val="18"/>
              </w:rPr>
              <w:t xml:space="preserve">plan term </w:t>
            </w:r>
            <w:r w:rsidR="00104D74">
              <w:rPr>
                <w:sz w:val="18"/>
                <w:szCs w:val="18"/>
              </w:rPr>
              <w:t>and can</w:t>
            </w:r>
            <w:r w:rsidR="00401D23" w:rsidRPr="001968A5">
              <w:rPr>
                <w:sz w:val="18"/>
                <w:szCs w:val="18"/>
              </w:rPr>
              <w:t xml:space="preserve"> allow for appropriate adjustments</w:t>
            </w:r>
            <w:r w:rsidR="00114D0D">
              <w:rPr>
                <w:sz w:val="18"/>
                <w:szCs w:val="18"/>
              </w:rPr>
              <w:t xml:space="preserve"> </w:t>
            </w:r>
            <w:r w:rsidR="008D3CD0">
              <w:rPr>
                <w:sz w:val="18"/>
                <w:szCs w:val="18"/>
              </w:rPr>
              <w:t>when necessary</w:t>
            </w:r>
            <w:r w:rsidR="00401D23" w:rsidRPr="001968A5">
              <w:rPr>
                <w:sz w:val="18"/>
                <w:szCs w:val="18"/>
              </w:rPr>
              <w:t xml:space="preserve"> (e.g. excessive overearnings, or a credit-rating downgrade).</w:t>
            </w:r>
            <w:r w:rsidR="00A77008">
              <w:rPr>
                <w:sz w:val="18"/>
                <w:szCs w:val="18"/>
              </w:rPr>
              <w:t xml:space="preserve"> </w:t>
            </w:r>
            <w:r w:rsidR="00061D80">
              <w:rPr>
                <w:sz w:val="18"/>
                <w:szCs w:val="18"/>
              </w:rPr>
              <w:t xml:space="preserve">16 states currently have active MRPs. </w:t>
            </w:r>
            <w:r w:rsidR="00BD076B">
              <w:rPr>
                <w:sz w:val="18"/>
                <w:szCs w:val="18"/>
              </w:rPr>
              <w:t>Jurisdictions</w:t>
            </w:r>
            <w:r w:rsidR="00346319">
              <w:rPr>
                <w:sz w:val="18"/>
                <w:szCs w:val="18"/>
              </w:rPr>
              <w:t xml:space="preserve"> with </w:t>
            </w:r>
            <w:r w:rsidR="004A4864">
              <w:rPr>
                <w:sz w:val="18"/>
                <w:szCs w:val="18"/>
              </w:rPr>
              <w:t xml:space="preserve">MRPs that have </w:t>
            </w:r>
            <w:proofErr w:type="gramStart"/>
            <w:r w:rsidR="004A4864">
              <w:rPr>
                <w:sz w:val="18"/>
                <w:szCs w:val="18"/>
              </w:rPr>
              <w:t>externally-indexed</w:t>
            </w:r>
            <w:proofErr w:type="gramEnd"/>
            <w:r w:rsidR="004A4864">
              <w:rPr>
                <w:sz w:val="18"/>
                <w:szCs w:val="18"/>
              </w:rPr>
              <w:t xml:space="preserve"> ARMs</w:t>
            </w:r>
            <w:r w:rsidR="0046470D">
              <w:rPr>
                <w:sz w:val="18"/>
                <w:szCs w:val="18"/>
              </w:rPr>
              <w:t xml:space="preserve"> include </w:t>
            </w:r>
            <w:r w:rsidR="0046470D" w:rsidRPr="00871BB1">
              <w:rPr>
                <w:b/>
                <w:bCs/>
                <w:sz w:val="18"/>
                <w:szCs w:val="18"/>
              </w:rPr>
              <w:t>Hawaii</w:t>
            </w:r>
            <w:r w:rsidR="004A4864">
              <w:rPr>
                <w:sz w:val="18"/>
                <w:szCs w:val="18"/>
              </w:rPr>
              <w:t xml:space="preserve">, </w:t>
            </w:r>
            <w:r w:rsidR="00871BB1" w:rsidRPr="00871BB1">
              <w:rPr>
                <w:b/>
                <w:bCs/>
                <w:sz w:val="18"/>
                <w:szCs w:val="18"/>
              </w:rPr>
              <w:t>Massachusetts</w:t>
            </w:r>
            <w:r w:rsidR="004A4864">
              <w:rPr>
                <w:b/>
                <w:bCs/>
                <w:sz w:val="18"/>
                <w:szCs w:val="18"/>
              </w:rPr>
              <w:t>,</w:t>
            </w:r>
            <w:r w:rsidR="00871BB1">
              <w:rPr>
                <w:sz w:val="18"/>
                <w:szCs w:val="18"/>
              </w:rPr>
              <w:t xml:space="preserve"> and </w:t>
            </w:r>
            <w:r w:rsidR="00BD076B" w:rsidRPr="00871BB1">
              <w:rPr>
                <w:b/>
                <w:bCs/>
                <w:sz w:val="18"/>
                <w:szCs w:val="18"/>
              </w:rPr>
              <w:t>Alberta, Canada</w:t>
            </w:r>
            <w:r w:rsidR="00871BB1">
              <w:rPr>
                <w:sz w:val="18"/>
                <w:szCs w:val="18"/>
              </w:rPr>
              <w:t>.</w:t>
            </w:r>
          </w:p>
          <w:p w14:paraId="33B83DF5" w14:textId="77777777" w:rsidR="00401D23" w:rsidRDefault="00401D23" w:rsidP="00D651D0">
            <w:pPr>
              <w:pStyle w:val="TableParagraph"/>
              <w:keepLines/>
              <w:widowControl/>
              <w:spacing w:line="259" w:lineRule="auto"/>
              <w:rPr>
                <w:sz w:val="18"/>
                <w:szCs w:val="18"/>
              </w:rPr>
            </w:pPr>
          </w:p>
          <w:p w14:paraId="66AD6ED1" w14:textId="41648F4F" w:rsidR="002104AC" w:rsidRPr="002104AC" w:rsidRDefault="002104AC" w:rsidP="00D651D0">
            <w:pPr>
              <w:pStyle w:val="TableParagraph"/>
              <w:keepLines/>
              <w:widowControl/>
              <w:spacing w:line="259" w:lineRule="auto"/>
              <w:rPr>
                <w:sz w:val="18"/>
                <w:szCs w:val="18"/>
                <w:u w:val="single"/>
              </w:rPr>
            </w:pPr>
            <w:r w:rsidRPr="002104AC">
              <w:rPr>
                <w:sz w:val="18"/>
                <w:szCs w:val="18"/>
                <w:u w:val="single"/>
              </w:rPr>
              <w:t>Earnings Sharing Mechanisms</w:t>
            </w:r>
          </w:p>
          <w:p w14:paraId="559217CA" w14:textId="30E5F7AF" w:rsidR="00401D23" w:rsidRPr="001968A5" w:rsidRDefault="00401D23" w:rsidP="00341759">
            <w:pPr>
              <w:pStyle w:val="TableParagraph"/>
              <w:keepLines/>
              <w:widowControl/>
              <w:rPr>
                <w:sz w:val="18"/>
                <w:szCs w:val="18"/>
              </w:rPr>
            </w:pPr>
            <w:r w:rsidRPr="001968A5">
              <w:rPr>
                <w:sz w:val="18"/>
                <w:szCs w:val="18"/>
              </w:rPr>
              <w:t>The current earnings sharing requirements</w:t>
            </w:r>
            <w:r>
              <w:rPr>
                <w:sz w:val="18"/>
                <w:szCs w:val="18"/>
              </w:rPr>
              <w:t xml:space="preserve"> for Virginia’s utilities</w:t>
            </w:r>
            <w:r w:rsidR="003643A7">
              <w:rPr>
                <w:sz w:val="18"/>
                <w:szCs w:val="18"/>
              </w:rPr>
              <w:t xml:space="preserve"> offer some protection to rate</w:t>
            </w:r>
            <w:r w:rsidR="00F85FD5">
              <w:rPr>
                <w:sz w:val="18"/>
                <w:szCs w:val="18"/>
              </w:rPr>
              <w:t xml:space="preserve">payers </w:t>
            </w:r>
            <w:r w:rsidR="00F47B9D">
              <w:rPr>
                <w:sz w:val="18"/>
                <w:szCs w:val="18"/>
              </w:rPr>
              <w:t>from utility overearnings</w:t>
            </w:r>
            <w:r w:rsidRPr="001968A5">
              <w:rPr>
                <w:sz w:val="18"/>
                <w:szCs w:val="18"/>
              </w:rPr>
              <w:t xml:space="preserve">. </w:t>
            </w:r>
            <w:r w:rsidR="00ED61B2">
              <w:rPr>
                <w:sz w:val="18"/>
                <w:szCs w:val="18"/>
              </w:rPr>
              <w:t>However, ESMs should be structured with</w:t>
            </w:r>
            <w:r w:rsidR="00F430D9">
              <w:rPr>
                <w:sz w:val="18"/>
                <w:szCs w:val="18"/>
              </w:rPr>
              <w:t xml:space="preserve"> two objectives in mind: </w:t>
            </w:r>
            <w:r w:rsidR="00B97B1F">
              <w:rPr>
                <w:sz w:val="18"/>
                <w:szCs w:val="18"/>
              </w:rPr>
              <w:t xml:space="preserve">1) </w:t>
            </w:r>
            <w:r w:rsidR="006E4B30">
              <w:rPr>
                <w:sz w:val="18"/>
                <w:szCs w:val="18"/>
              </w:rPr>
              <w:t>to act</w:t>
            </w:r>
            <w:r w:rsidR="00B97B1F">
              <w:rPr>
                <w:sz w:val="18"/>
                <w:szCs w:val="18"/>
              </w:rPr>
              <w:t xml:space="preserve"> as</w:t>
            </w:r>
            <w:r w:rsidR="00F430D9">
              <w:rPr>
                <w:sz w:val="18"/>
                <w:szCs w:val="18"/>
              </w:rPr>
              <w:t xml:space="preserve"> a safeguard </w:t>
            </w:r>
            <w:r w:rsidR="00B97B1F">
              <w:rPr>
                <w:sz w:val="18"/>
                <w:szCs w:val="18"/>
              </w:rPr>
              <w:t>if utilities earnings significantly ex</w:t>
            </w:r>
            <w:r w:rsidR="00E62080">
              <w:rPr>
                <w:sz w:val="18"/>
                <w:szCs w:val="18"/>
              </w:rPr>
              <w:t>c</w:t>
            </w:r>
            <w:r w:rsidR="00B97B1F">
              <w:rPr>
                <w:sz w:val="18"/>
                <w:szCs w:val="18"/>
              </w:rPr>
              <w:t>eed authorized ROE and 2) when pai</w:t>
            </w:r>
            <w:r w:rsidR="00D31357">
              <w:rPr>
                <w:sz w:val="18"/>
                <w:szCs w:val="18"/>
              </w:rPr>
              <w:t>r</w:t>
            </w:r>
            <w:r w:rsidR="00B97B1F">
              <w:rPr>
                <w:sz w:val="18"/>
                <w:szCs w:val="18"/>
              </w:rPr>
              <w:t>ed with a</w:t>
            </w:r>
            <w:r w:rsidR="008378E1">
              <w:rPr>
                <w:sz w:val="18"/>
                <w:szCs w:val="18"/>
              </w:rPr>
              <w:t>n</w:t>
            </w:r>
            <w:r w:rsidR="00B97B1F">
              <w:rPr>
                <w:sz w:val="18"/>
                <w:szCs w:val="18"/>
              </w:rPr>
              <w:t xml:space="preserve"> MR</w:t>
            </w:r>
            <w:r w:rsidR="00096DEE">
              <w:rPr>
                <w:sz w:val="18"/>
                <w:szCs w:val="18"/>
              </w:rPr>
              <w:t>P with a revenue cap</w:t>
            </w:r>
            <w:r w:rsidR="00B97B1F">
              <w:rPr>
                <w:sz w:val="18"/>
                <w:szCs w:val="18"/>
              </w:rPr>
              <w:t xml:space="preserve">, ensuring that the </w:t>
            </w:r>
            <w:r w:rsidR="00BC3E33">
              <w:rPr>
                <w:sz w:val="18"/>
                <w:szCs w:val="18"/>
              </w:rPr>
              <w:t xml:space="preserve">MRP’s </w:t>
            </w:r>
            <w:r w:rsidR="00B97B1F">
              <w:rPr>
                <w:sz w:val="18"/>
                <w:szCs w:val="18"/>
              </w:rPr>
              <w:t>cost</w:t>
            </w:r>
            <w:r w:rsidR="006802B6">
              <w:rPr>
                <w:sz w:val="18"/>
                <w:szCs w:val="18"/>
              </w:rPr>
              <w:t xml:space="preserve"> </w:t>
            </w:r>
            <w:r w:rsidR="00B97B1F">
              <w:rPr>
                <w:sz w:val="18"/>
                <w:szCs w:val="18"/>
              </w:rPr>
              <w:t>containment incentive</w:t>
            </w:r>
            <w:r w:rsidR="00096DEE">
              <w:rPr>
                <w:sz w:val="18"/>
                <w:szCs w:val="18"/>
              </w:rPr>
              <w:t xml:space="preserve"> is not </w:t>
            </w:r>
            <w:r w:rsidR="00D012F4">
              <w:rPr>
                <w:sz w:val="18"/>
                <w:szCs w:val="18"/>
              </w:rPr>
              <w:t xml:space="preserve">overly </w:t>
            </w:r>
            <w:r w:rsidR="00096DEE">
              <w:rPr>
                <w:sz w:val="18"/>
                <w:szCs w:val="18"/>
              </w:rPr>
              <w:t>diluted</w:t>
            </w:r>
            <w:r w:rsidR="00E7081A">
              <w:rPr>
                <w:sz w:val="18"/>
                <w:szCs w:val="18"/>
              </w:rPr>
              <w:t xml:space="preserve"> by requiring sharing </w:t>
            </w:r>
            <w:r w:rsidR="00066C67">
              <w:rPr>
                <w:sz w:val="18"/>
                <w:szCs w:val="18"/>
              </w:rPr>
              <w:t xml:space="preserve">of </w:t>
            </w:r>
            <w:r w:rsidR="00E7081A">
              <w:rPr>
                <w:sz w:val="18"/>
                <w:szCs w:val="18"/>
              </w:rPr>
              <w:t>overearnings with customers</w:t>
            </w:r>
            <w:r w:rsidR="00096DEE">
              <w:rPr>
                <w:sz w:val="18"/>
                <w:szCs w:val="18"/>
              </w:rPr>
              <w:t>.</w:t>
            </w:r>
            <w:r w:rsidR="00B97B1F">
              <w:rPr>
                <w:sz w:val="18"/>
                <w:szCs w:val="18"/>
              </w:rPr>
              <w:t xml:space="preserve"> </w:t>
            </w:r>
            <w:r w:rsidR="00AE5DF7">
              <w:rPr>
                <w:sz w:val="18"/>
                <w:szCs w:val="18"/>
              </w:rPr>
              <w:t>ESM d</w:t>
            </w:r>
            <w:r w:rsidR="006802B6">
              <w:rPr>
                <w:sz w:val="18"/>
                <w:szCs w:val="18"/>
              </w:rPr>
              <w:t xml:space="preserve">eadbands </w:t>
            </w:r>
            <w:r w:rsidR="00AE5DF7">
              <w:rPr>
                <w:sz w:val="18"/>
                <w:szCs w:val="18"/>
              </w:rPr>
              <w:t>are often</w:t>
            </w:r>
            <w:r w:rsidR="006802B6">
              <w:rPr>
                <w:sz w:val="18"/>
                <w:szCs w:val="18"/>
              </w:rPr>
              <w:t xml:space="preserve"> used to preserve </w:t>
            </w:r>
            <w:r w:rsidR="00EE3ED9">
              <w:rPr>
                <w:sz w:val="18"/>
                <w:szCs w:val="18"/>
              </w:rPr>
              <w:t>a MRP’s</w:t>
            </w:r>
            <w:r w:rsidR="006802B6">
              <w:rPr>
                <w:sz w:val="18"/>
                <w:szCs w:val="18"/>
              </w:rPr>
              <w:t xml:space="preserve"> cost containment incentive</w:t>
            </w:r>
            <w:r w:rsidR="003B74CD">
              <w:rPr>
                <w:sz w:val="18"/>
                <w:szCs w:val="18"/>
              </w:rPr>
              <w:t xml:space="preserve"> while st</w:t>
            </w:r>
            <w:r w:rsidR="00347AE6">
              <w:rPr>
                <w:sz w:val="18"/>
                <w:szCs w:val="18"/>
              </w:rPr>
              <w:t>i</w:t>
            </w:r>
            <w:r w:rsidR="003B74CD">
              <w:rPr>
                <w:sz w:val="18"/>
                <w:szCs w:val="18"/>
              </w:rPr>
              <w:t>ll protecting customer</w:t>
            </w:r>
            <w:r w:rsidR="00B05399">
              <w:rPr>
                <w:sz w:val="18"/>
                <w:szCs w:val="18"/>
              </w:rPr>
              <w:t>s</w:t>
            </w:r>
            <w:r w:rsidR="003B74CD">
              <w:rPr>
                <w:sz w:val="18"/>
                <w:szCs w:val="18"/>
              </w:rPr>
              <w:t xml:space="preserve"> from </w:t>
            </w:r>
            <w:r w:rsidR="0048206E">
              <w:rPr>
                <w:sz w:val="18"/>
                <w:szCs w:val="18"/>
              </w:rPr>
              <w:t xml:space="preserve">exceedingly high </w:t>
            </w:r>
            <w:r w:rsidR="003B74CD">
              <w:rPr>
                <w:sz w:val="18"/>
                <w:szCs w:val="18"/>
              </w:rPr>
              <w:t>earnings</w:t>
            </w:r>
            <w:r w:rsidR="003A0A7E">
              <w:rPr>
                <w:sz w:val="18"/>
                <w:szCs w:val="18"/>
              </w:rPr>
              <w:t>. However,</w:t>
            </w:r>
            <w:r w:rsidR="00EE3ED9">
              <w:rPr>
                <w:sz w:val="18"/>
                <w:szCs w:val="18"/>
              </w:rPr>
              <w:t xml:space="preserve"> without </w:t>
            </w:r>
            <w:r w:rsidR="002D4091">
              <w:rPr>
                <w:sz w:val="18"/>
                <w:szCs w:val="18"/>
              </w:rPr>
              <w:t xml:space="preserve">a </w:t>
            </w:r>
            <w:r w:rsidR="005F55F9">
              <w:rPr>
                <w:sz w:val="18"/>
                <w:szCs w:val="18"/>
              </w:rPr>
              <w:t>revenue cap</w:t>
            </w:r>
            <w:r w:rsidR="00E42A0B">
              <w:rPr>
                <w:sz w:val="18"/>
                <w:szCs w:val="18"/>
              </w:rPr>
              <w:t>,</w:t>
            </w:r>
            <w:r w:rsidR="005F55F9">
              <w:rPr>
                <w:sz w:val="18"/>
                <w:szCs w:val="18"/>
              </w:rPr>
              <w:t xml:space="preserve"> </w:t>
            </w:r>
            <w:r w:rsidR="00C154AC">
              <w:rPr>
                <w:sz w:val="18"/>
                <w:szCs w:val="18"/>
              </w:rPr>
              <w:t xml:space="preserve">it is unclear whether </w:t>
            </w:r>
            <w:r w:rsidR="000A2C8F">
              <w:rPr>
                <w:sz w:val="18"/>
                <w:szCs w:val="18"/>
              </w:rPr>
              <w:t>a</w:t>
            </w:r>
            <w:r w:rsidR="001F72FB">
              <w:rPr>
                <w:sz w:val="18"/>
                <w:szCs w:val="18"/>
              </w:rPr>
              <w:t xml:space="preserve"> higher ROE </w:t>
            </w:r>
            <w:r w:rsidR="0030712C">
              <w:rPr>
                <w:sz w:val="18"/>
                <w:szCs w:val="18"/>
              </w:rPr>
              <w:t xml:space="preserve">is the result of </w:t>
            </w:r>
            <w:r w:rsidR="00C11E0D">
              <w:rPr>
                <w:sz w:val="18"/>
                <w:szCs w:val="18"/>
              </w:rPr>
              <w:t xml:space="preserve">a utility containing </w:t>
            </w:r>
            <w:r w:rsidR="0030712C">
              <w:rPr>
                <w:sz w:val="18"/>
                <w:szCs w:val="18"/>
              </w:rPr>
              <w:t>costs or just</w:t>
            </w:r>
            <w:r>
              <w:rPr>
                <w:sz w:val="18"/>
                <w:szCs w:val="18"/>
              </w:rPr>
              <w:t xml:space="preserve"> increas</w:t>
            </w:r>
            <w:r w:rsidR="0030712C">
              <w:rPr>
                <w:sz w:val="18"/>
                <w:szCs w:val="18"/>
              </w:rPr>
              <w:t>ing</w:t>
            </w:r>
            <w:r>
              <w:rPr>
                <w:sz w:val="18"/>
                <w:szCs w:val="18"/>
              </w:rPr>
              <w:t xml:space="preserve"> sales</w:t>
            </w:r>
            <w:r w:rsidR="0030712C">
              <w:rPr>
                <w:sz w:val="18"/>
                <w:szCs w:val="18"/>
              </w:rPr>
              <w:t xml:space="preserve">, and thus </w:t>
            </w:r>
            <w:r w:rsidR="00B05399">
              <w:rPr>
                <w:sz w:val="18"/>
                <w:szCs w:val="18"/>
              </w:rPr>
              <w:t xml:space="preserve">the use of a deadband may not be </w:t>
            </w:r>
            <w:r w:rsidR="00C11E0D">
              <w:rPr>
                <w:sz w:val="18"/>
                <w:szCs w:val="18"/>
              </w:rPr>
              <w:t>as effective</w:t>
            </w:r>
            <w:r w:rsidR="00C06F4B">
              <w:rPr>
                <w:sz w:val="18"/>
                <w:szCs w:val="18"/>
              </w:rPr>
              <w:t>.</w:t>
            </w:r>
            <w:r>
              <w:rPr>
                <w:sz w:val="18"/>
                <w:szCs w:val="18"/>
              </w:rPr>
              <w:t xml:space="preserve"> </w:t>
            </w:r>
            <w:r w:rsidR="001168BF">
              <w:rPr>
                <w:sz w:val="18"/>
                <w:szCs w:val="18"/>
              </w:rPr>
              <w:t xml:space="preserve">Other jurisdictions with ESMs include </w:t>
            </w:r>
            <w:r w:rsidR="001168BF" w:rsidRPr="000923A5">
              <w:rPr>
                <w:b/>
                <w:bCs/>
                <w:sz w:val="18"/>
                <w:szCs w:val="18"/>
              </w:rPr>
              <w:t>Hawaii</w:t>
            </w:r>
            <w:r w:rsidR="001168BF">
              <w:rPr>
                <w:sz w:val="18"/>
                <w:szCs w:val="18"/>
              </w:rPr>
              <w:t>,</w:t>
            </w:r>
            <w:r w:rsidR="000A0012">
              <w:rPr>
                <w:sz w:val="18"/>
                <w:szCs w:val="18"/>
              </w:rPr>
              <w:t xml:space="preserve"> </w:t>
            </w:r>
            <w:r w:rsidR="000A0012" w:rsidRPr="000A0012">
              <w:rPr>
                <w:b/>
                <w:bCs/>
                <w:sz w:val="18"/>
                <w:szCs w:val="18"/>
              </w:rPr>
              <w:t>Massachusetts</w:t>
            </w:r>
            <w:r w:rsidR="000A0012">
              <w:rPr>
                <w:sz w:val="18"/>
                <w:szCs w:val="18"/>
              </w:rPr>
              <w:t xml:space="preserve">, and </w:t>
            </w:r>
            <w:r w:rsidR="000A0012" w:rsidRPr="000A0012">
              <w:rPr>
                <w:b/>
                <w:bCs/>
                <w:sz w:val="18"/>
                <w:szCs w:val="18"/>
              </w:rPr>
              <w:t>Vermont</w:t>
            </w:r>
            <w:r w:rsidR="000A0012">
              <w:rPr>
                <w:sz w:val="18"/>
                <w:szCs w:val="18"/>
              </w:rPr>
              <w:t>.</w:t>
            </w:r>
            <w:r w:rsidR="001168BF">
              <w:rPr>
                <w:sz w:val="18"/>
                <w:szCs w:val="18"/>
              </w:rPr>
              <w:t xml:space="preserve"> </w:t>
            </w:r>
            <w:r w:rsidRPr="001968A5">
              <w:rPr>
                <w:sz w:val="18"/>
                <w:szCs w:val="18"/>
              </w:rPr>
              <w:t xml:space="preserve"> </w:t>
            </w:r>
          </w:p>
          <w:p w14:paraId="479A0EBA" w14:textId="77777777" w:rsidR="00401D23" w:rsidRDefault="00401D23" w:rsidP="00D651D0">
            <w:pPr>
              <w:pStyle w:val="TableParagraph"/>
              <w:keepLines/>
              <w:widowControl/>
              <w:spacing w:line="259" w:lineRule="auto"/>
              <w:rPr>
                <w:sz w:val="18"/>
                <w:szCs w:val="18"/>
              </w:rPr>
            </w:pPr>
          </w:p>
          <w:p w14:paraId="0D0F9006" w14:textId="6304F054" w:rsidR="00843C88" w:rsidRPr="00843C88" w:rsidRDefault="00843C88" w:rsidP="00D651D0">
            <w:pPr>
              <w:pStyle w:val="TableParagraph"/>
              <w:keepLines/>
              <w:widowControl/>
              <w:spacing w:line="259" w:lineRule="auto"/>
              <w:rPr>
                <w:sz w:val="18"/>
                <w:szCs w:val="18"/>
                <w:u w:val="single"/>
              </w:rPr>
            </w:pPr>
            <w:r>
              <w:rPr>
                <w:sz w:val="18"/>
                <w:szCs w:val="18"/>
                <w:u w:val="single"/>
              </w:rPr>
              <w:t>Management Audits</w:t>
            </w:r>
          </w:p>
          <w:p w14:paraId="23674279" w14:textId="06FB7CE9" w:rsidR="00401D23" w:rsidRDefault="00401D23" w:rsidP="00341759">
            <w:pPr>
              <w:pStyle w:val="TableParagraph"/>
              <w:keepLines/>
              <w:widowControl/>
              <w:rPr>
                <w:sz w:val="18"/>
                <w:szCs w:val="18"/>
              </w:rPr>
            </w:pPr>
            <w:r w:rsidRPr="001968A5">
              <w:rPr>
                <w:sz w:val="18"/>
                <w:szCs w:val="18"/>
              </w:rPr>
              <w:t xml:space="preserve">Virginia’s ratepayers may also benefit from more frequent </w:t>
            </w:r>
            <w:r w:rsidRPr="001968A5">
              <w:rPr>
                <w:b/>
                <w:bCs/>
                <w:sz w:val="18"/>
                <w:szCs w:val="18"/>
              </w:rPr>
              <w:t>management audits</w:t>
            </w:r>
            <w:r w:rsidRPr="001968A5">
              <w:rPr>
                <w:sz w:val="18"/>
                <w:szCs w:val="18"/>
              </w:rPr>
              <w:t xml:space="preserve"> of the investor-owned utilities, regardless of whether an MRP structure is in place. Audits can unearth significant cost saving opportunities. For example, a 2020 management audit in </w:t>
            </w:r>
            <w:r w:rsidRPr="00D75680">
              <w:rPr>
                <w:b/>
                <w:sz w:val="18"/>
                <w:szCs w:val="18"/>
              </w:rPr>
              <w:t>Hawaii</w:t>
            </w:r>
            <w:r w:rsidRPr="001968A5">
              <w:rPr>
                <w:sz w:val="18"/>
                <w:szCs w:val="18"/>
              </w:rPr>
              <w:t xml:space="preserve"> revealed $25 million of annual capital and operational cost reductions that translated into immediate bill savings. For MRPs, management audits can ensure going-in rates and ARM design accurately reflect the potential for </w:t>
            </w:r>
            <w:r w:rsidRPr="0027478A">
              <w:rPr>
                <w:b/>
                <w:sz w:val="18"/>
                <w:szCs w:val="18"/>
              </w:rPr>
              <w:t>cost efficiencies</w:t>
            </w:r>
            <w:r w:rsidRPr="001968A5">
              <w:rPr>
                <w:sz w:val="18"/>
                <w:szCs w:val="18"/>
              </w:rPr>
              <w:t>.</w:t>
            </w:r>
          </w:p>
          <w:p w14:paraId="159B8BBE" w14:textId="77777777" w:rsidR="00401D23" w:rsidRDefault="00401D23" w:rsidP="00341759">
            <w:pPr>
              <w:pStyle w:val="TableParagraph"/>
              <w:keepLines/>
              <w:widowControl/>
              <w:rPr>
                <w:sz w:val="18"/>
                <w:szCs w:val="18"/>
              </w:rPr>
            </w:pPr>
          </w:p>
          <w:p w14:paraId="6B916E2C" w14:textId="38EB58CF" w:rsidR="002104AC" w:rsidRPr="002104AC" w:rsidRDefault="00515BE6" w:rsidP="00341759">
            <w:pPr>
              <w:pStyle w:val="TableParagraph"/>
              <w:keepLines/>
              <w:widowControl/>
              <w:rPr>
                <w:sz w:val="18"/>
                <w:szCs w:val="18"/>
                <w:u w:val="single"/>
              </w:rPr>
            </w:pPr>
            <w:r>
              <w:rPr>
                <w:sz w:val="18"/>
                <w:szCs w:val="18"/>
                <w:u w:val="single"/>
              </w:rPr>
              <w:t xml:space="preserve">Electric </w:t>
            </w:r>
            <w:r w:rsidR="002104AC" w:rsidRPr="002104AC">
              <w:rPr>
                <w:sz w:val="18"/>
                <w:szCs w:val="18"/>
                <w:u w:val="single"/>
              </w:rPr>
              <w:t>Revenue Decoupling</w:t>
            </w:r>
          </w:p>
          <w:p w14:paraId="0E52DA3E" w14:textId="212E27C8" w:rsidR="00401D23" w:rsidRPr="001968A5" w:rsidRDefault="00401D23" w:rsidP="00CE653A">
            <w:pPr>
              <w:pStyle w:val="TableParagraph"/>
              <w:keepLines/>
              <w:widowControl/>
              <w:rPr>
                <w:sz w:val="18"/>
                <w:szCs w:val="18"/>
              </w:rPr>
            </w:pPr>
            <w:r>
              <w:rPr>
                <w:sz w:val="18"/>
                <w:szCs w:val="18"/>
              </w:rPr>
              <w:t>Vi</w:t>
            </w:r>
            <w:r w:rsidRPr="001968A5">
              <w:rPr>
                <w:sz w:val="18"/>
                <w:szCs w:val="18"/>
              </w:rPr>
              <w:t xml:space="preserve">rginia does not currently have electric </w:t>
            </w:r>
            <w:r w:rsidRPr="001968A5">
              <w:rPr>
                <w:b/>
                <w:bCs/>
                <w:sz w:val="18"/>
                <w:szCs w:val="18"/>
              </w:rPr>
              <w:t>revenue decoupling</w:t>
            </w:r>
            <w:r w:rsidRPr="001968A5">
              <w:rPr>
                <w:sz w:val="18"/>
                <w:szCs w:val="18"/>
              </w:rPr>
              <w:t xml:space="preserve"> in place, which is another missed opportunity to address issues that stem from </w:t>
            </w:r>
            <w:r w:rsidR="00515BE6">
              <w:rPr>
                <w:sz w:val="18"/>
                <w:szCs w:val="18"/>
              </w:rPr>
              <w:t>utilities’</w:t>
            </w:r>
            <w:r w:rsidR="00515BE6" w:rsidRPr="001968A5">
              <w:rPr>
                <w:sz w:val="18"/>
                <w:szCs w:val="18"/>
              </w:rPr>
              <w:t xml:space="preserve"> </w:t>
            </w:r>
            <w:r w:rsidRPr="001968A5">
              <w:rPr>
                <w:b/>
                <w:bCs/>
                <w:sz w:val="18"/>
                <w:szCs w:val="18"/>
              </w:rPr>
              <w:t>throughput</w:t>
            </w:r>
            <w:r w:rsidRPr="001968A5">
              <w:rPr>
                <w:sz w:val="18"/>
                <w:szCs w:val="18"/>
              </w:rPr>
              <w:t xml:space="preserve"> </w:t>
            </w:r>
            <w:r w:rsidRPr="001968A5">
              <w:rPr>
                <w:b/>
                <w:bCs/>
                <w:sz w:val="18"/>
                <w:szCs w:val="18"/>
              </w:rPr>
              <w:t>incentive</w:t>
            </w:r>
            <w:r w:rsidRPr="001968A5">
              <w:rPr>
                <w:sz w:val="18"/>
                <w:szCs w:val="18"/>
              </w:rPr>
              <w:t xml:space="preserve">. When variable rates are used to recover costs that are fixed in the short term, a utility can increase its revenues by selling more energy without a corresponding increase in its costs. This creates a powerful incentive to grow sales and oppose measures that reduce energy usage. Revenue decoupling can make a utility neutral towards sales volumes, thereby removing the disincentive against energy efficiency programs. Revenue decoupling calculates the difference between a utility’s approved revenues and the revenues it has actually collected from customers, and then performs a true-up via a rate rider (i.e., a refund if there was overcollection or a surcharge if there was </w:t>
            </w:r>
            <w:proofErr w:type="spellStart"/>
            <w:r w:rsidRPr="001968A5">
              <w:rPr>
                <w:sz w:val="18"/>
                <w:szCs w:val="18"/>
              </w:rPr>
              <w:t>undercollection</w:t>
            </w:r>
            <w:proofErr w:type="spellEnd"/>
            <w:r w:rsidRPr="001968A5">
              <w:rPr>
                <w:sz w:val="18"/>
                <w:szCs w:val="18"/>
              </w:rPr>
              <w:t xml:space="preserve">). The function of revenue decoupling is to eliminate the throughput incentive by truing up the utility’s fixed-cost recovery to match its approved level – no more, no less. Removing the throughput incentive means that customers do not overpay for use of the utility’s existing assets when usage increases, and that the utility does not fail to recover its prudently incurred costs for those assets when usage decreases. It also eliminates the profit opportunity that increased energy sales represents, and thus reduces the utility’s </w:t>
            </w:r>
            <w:r w:rsidR="0027478A">
              <w:rPr>
                <w:sz w:val="18"/>
                <w:szCs w:val="18"/>
              </w:rPr>
              <w:t>f</w:t>
            </w:r>
            <w:r w:rsidRPr="001968A5">
              <w:rPr>
                <w:sz w:val="18"/>
                <w:szCs w:val="18"/>
              </w:rPr>
              <w:t xml:space="preserve">inancial incentive to oppose energy efficiency measures and third-party and customer-owned distributed generation. Revenue decoupling thus benefits the utility, customers, and society. </w:t>
            </w:r>
            <w:r w:rsidR="00697093">
              <w:rPr>
                <w:sz w:val="18"/>
                <w:szCs w:val="18"/>
              </w:rPr>
              <w:t xml:space="preserve">18 states and </w:t>
            </w:r>
            <w:r w:rsidR="00715576">
              <w:rPr>
                <w:sz w:val="18"/>
                <w:szCs w:val="18"/>
              </w:rPr>
              <w:t xml:space="preserve">Washington, </w:t>
            </w:r>
            <w:r w:rsidR="00697093">
              <w:rPr>
                <w:sz w:val="18"/>
                <w:szCs w:val="18"/>
              </w:rPr>
              <w:t>DC</w:t>
            </w:r>
            <w:r w:rsidRPr="001968A5">
              <w:rPr>
                <w:sz w:val="18"/>
                <w:szCs w:val="18"/>
              </w:rPr>
              <w:t xml:space="preserve"> currently have electric revenue decoupling, including </w:t>
            </w:r>
            <w:r w:rsidRPr="001968A5">
              <w:rPr>
                <w:b/>
                <w:bCs/>
                <w:sz w:val="18"/>
                <w:szCs w:val="18"/>
              </w:rPr>
              <w:t>Massachusetts</w:t>
            </w:r>
            <w:r w:rsidRPr="001968A5">
              <w:rPr>
                <w:sz w:val="18"/>
                <w:szCs w:val="18"/>
              </w:rPr>
              <w:t xml:space="preserve">, </w:t>
            </w:r>
            <w:r w:rsidR="006C3297">
              <w:rPr>
                <w:b/>
                <w:bCs/>
                <w:sz w:val="18"/>
                <w:szCs w:val="18"/>
              </w:rPr>
              <w:t>New York</w:t>
            </w:r>
            <w:r w:rsidRPr="001968A5">
              <w:rPr>
                <w:sz w:val="18"/>
                <w:szCs w:val="18"/>
              </w:rPr>
              <w:t xml:space="preserve">, and </w:t>
            </w:r>
            <w:r w:rsidRPr="001968A5">
              <w:rPr>
                <w:b/>
                <w:bCs/>
                <w:sz w:val="18"/>
                <w:szCs w:val="18"/>
              </w:rPr>
              <w:t xml:space="preserve">California </w:t>
            </w:r>
            <w:r w:rsidRPr="001968A5">
              <w:rPr>
                <w:sz w:val="18"/>
                <w:szCs w:val="18"/>
              </w:rPr>
              <w:t xml:space="preserve">– states that also </w:t>
            </w:r>
            <w:proofErr w:type="spellStart"/>
            <w:r w:rsidRPr="001968A5">
              <w:rPr>
                <w:sz w:val="18"/>
                <w:szCs w:val="18"/>
              </w:rPr>
              <w:t>consistenly</w:t>
            </w:r>
            <w:proofErr w:type="spellEnd"/>
            <w:r w:rsidRPr="001968A5">
              <w:rPr>
                <w:sz w:val="18"/>
                <w:szCs w:val="18"/>
              </w:rPr>
              <w:t xml:space="preserve"> rank among the best performing on ACEEE’s energy efficiency scorecard. </w:t>
            </w:r>
          </w:p>
          <w:p w14:paraId="2984864F" w14:textId="77777777" w:rsidR="00401D23" w:rsidRDefault="00401D23" w:rsidP="00341759">
            <w:pPr>
              <w:pStyle w:val="TableParagraph"/>
              <w:keepLines/>
              <w:widowControl/>
              <w:rPr>
                <w:sz w:val="18"/>
                <w:szCs w:val="18"/>
              </w:rPr>
            </w:pPr>
          </w:p>
          <w:p w14:paraId="3E9E5986" w14:textId="1E39636C" w:rsidR="002104AC" w:rsidRPr="002104AC" w:rsidRDefault="002104AC" w:rsidP="00341759">
            <w:pPr>
              <w:pStyle w:val="TableParagraph"/>
              <w:keepLines/>
              <w:widowControl/>
              <w:rPr>
                <w:sz w:val="18"/>
                <w:szCs w:val="18"/>
                <w:u w:val="single"/>
              </w:rPr>
            </w:pPr>
            <w:r w:rsidRPr="002104AC">
              <w:rPr>
                <w:sz w:val="18"/>
                <w:szCs w:val="18"/>
                <w:u w:val="single"/>
              </w:rPr>
              <w:t>Capex-</w:t>
            </w:r>
            <w:proofErr w:type="spellStart"/>
            <w:r w:rsidRPr="002104AC">
              <w:rPr>
                <w:sz w:val="18"/>
                <w:szCs w:val="18"/>
                <w:u w:val="single"/>
              </w:rPr>
              <w:t>Opex</w:t>
            </w:r>
            <w:proofErr w:type="spellEnd"/>
            <w:r w:rsidRPr="002104AC">
              <w:rPr>
                <w:sz w:val="18"/>
                <w:szCs w:val="18"/>
                <w:u w:val="single"/>
              </w:rPr>
              <w:t xml:space="preserve"> Equalization</w:t>
            </w:r>
          </w:p>
          <w:p w14:paraId="50160DE4" w14:textId="7954FE4F" w:rsidR="00401D23" w:rsidRDefault="00401D23" w:rsidP="00CE653A">
            <w:pPr>
              <w:pStyle w:val="p1"/>
              <w:rPr>
                <w:rFonts w:ascii="Arial" w:hAnsi="Arial" w:cs="Arial"/>
                <w:color w:val="auto"/>
                <w:sz w:val="18"/>
                <w:szCs w:val="18"/>
              </w:rPr>
            </w:pPr>
            <w:r w:rsidRPr="001968A5">
              <w:rPr>
                <w:rFonts w:ascii="Arial" w:hAnsi="Arial" w:cs="Arial"/>
                <w:color w:val="auto"/>
                <w:sz w:val="18"/>
                <w:szCs w:val="18"/>
              </w:rPr>
              <w:t xml:space="preserve">A number of </w:t>
            </w:r>
            <w:r w:rsidRPr="001968A5">
              <w:rPr>
                <w:rFonts w:ascii="Arial" w:hAnsi="Arial" w:cs="Arial"/>
                <w:b/>
                <w:bCs/>
                <w:color w:val="auto"/>
                <w:sz w:val="18"/>
                <w:szCs w:val="18"/>
              </w:rPr>
              <w:t>capex-</w:t>
            </w:r>
            <w:proofErr w:type="spellStart"/>
            <w:r w:rsidRPr="001968A5">
              <w:rPr>
                <w:rFonts w:ascii="Arial" w:hAnsi="Arial" w:cs="Arial"/>
                <w:b/>
                <w:bCs/>
                <w:color w:val="auto"/>
                <w:sz w:val="18"/>
                <w:szCs w:val="18"/>
              </w:rPr>
              <w:t>opex</w:t>
            </w:r>
            <w:proofErr w:type="spellEnd"/>
            <w:r w:rsidRPr="001968A5">
              <w:rPr>
                <w:rFonts w:ascii="Arial" w:hAnsi="Arial" w:cs="Arial"/>
                <w:b/>
                <w:bCs/>
                <w:color w:val="auto"/>
                <w:sz w:val="18"/>
                <w:szCs w:val="18"/>
              </w:rPr>
              <w:t xml:space="preserve"> equalization</w:t>
            </w:r>
            <w:r w:rsidRPr="001968A5">
              <w:rPr>
                <w:rFonts w:ascii="Arial" w:hAnsi="Arial" w:cs="Arial"/>
                <w:color w:val="auto"/>
                <w:sz w:val="18"/>
                <w:szCs w:val="18"/>
              </w:rPr>
              <w:t xml:space="preserve"> strategies may </w:t>
            </w:r>
            <w:r w:rsidR="003828D0">
              <w:rPr>
                <w:rFonts w:ascii="Arial" w:hAnsi="Arial" w:cs="Arial"/>
                <w:color w:val="auto"/>
                <w:sz w:val="18"/>
                <w:szCs w:val="18"/>
              </w:rPr>
              <w:t xml:space="preserve">also incentivize </w:t>
            </w:r>
            <w:proofErr w:type="spellStart"/>
            <w:r w:rsidR="00442A1E">
              <w:rPr>
                <w:rFonts w:ascii="Arial" w:hAnsi="Arial" w:cs="Arial"/>
                <w:color w:val="auto"/>
                <w:sz w:val="18"/>
                <w:szCs w:val="18"/>
              </w:rPr>
              <w:t>Virgnia’s</w:t>
            </w:r>
            <w:proofErr w:type="spellEnd"/>
            <w:r w:rsidR="00442A1E">
              <w:rPr>
                <w:rFonts w:ascii="Arial" w:hAnsi="Arial" w:cs="Arial"/>
                <w:color w:val="auto"/>
                <w:sz w:val="18"/>
                <w:szCs w:val="18"/>
              </w:rPr>
              <w:t xml:space="preserve"> utilities </w:t>
            </w:r>
            <w:r w:rsidRPr="001968A5">
              <w:rPr>
                <w:rFonts w:ascii="Arial" w:hAnsi="Arial" w:cs="Arial"/>
                <w:color w:val="auto"/>
                <w:sz w:val="18"/>
                <w:szCs w:val="18"/>
              </w:rPr>
              <w:t xml:space="preserve">to </w:t>
            </w:r>
            <w:r w:rsidR="00442A1E">
              <w:rPr>
                <w:rFonts w:ascii="Arial" w:hAnsi="Arial" w:cs="Arial"/>
                <w:color w:val="auto"/>
                <w:sz w:val="18"/>
                <w:szCs w:val="18"/>
              </w:rPr>
              <w:t>seek</w:t>
            </w:r>
            <w:r w:rsidRPr="001968A5">
              <w:rPr>
                <w:rFonts w:ascii="Arial" w:hAnsi="Arial" w:cs="Arial"/>
                <w:color w:val="auto"/>
                <w:sz w:val="18"/>
                <w:szCs w:val="18"/>
              </w:rPr>
              <w:t xml:space="preserve"> </w:t>
            </w:r>
            <w:r w:rsidRPr="001968A5">
              <w:rPr>
                <w:rFonts w:ascii="Arial" w:hAnsi="Arial" w:cs="Arial"/>
                <w:b/>
                <w:bCs/>
                <w:color w:val="auto"/>
                <w:sz w:val="18"/>
                <w:szCs w:val="18"/>
              </w:rPr>
              <w:t>cost efficiencies</w:t>
            </w:r>
            <w:r w:rsidRPr="001968A5">
              <w:rPr>
                <w:rFonts w:ascii="Arial" w:hAnsi="Arial" w:cs="Arial"/>
                <w:color w:val="auto"/>
                <w:sz w:val="18"/>
                <w:szCs w:val="18"/>
              </w:rPr>
              <w:t>. Capex-</w:t>
            </w:r>
            <w:proofErr w:type="spellStart"/>
            <w:r w:rsidRPr="001968A5">
              <w:rPr>
                <w:rFonts w:ascii="Arial" w:hAnsi="Arial" w:cs="Arial"/>
                <w:color w:val="auto"/>
                <w:sz w:val="18"/>
                <w:szCs w:val="18"/>
              </w:rPr>
              <w:t>opex</w:t>
            </w:r>
            <w:proofErr w:type="spellEnd"/>
            <w:r w:rsidRPr="001968A5">
              <w:rPr>
                <w:rFonts w:ascii="Arial" w:hAnsi="Arial" w:cs="Arial"/>
                <w:color w:val="auto"/>
                <w:sz w:val="18"/>
                <w:szCs w:val="18"/>
              </w:rPr>
              <w:t xml:space="preserve"> equalization policies are designed to reduce or eliminate capex bias. For example, </w:t>
            </w:r>
            <w:proofErr w:type="spellStart"/>
            <w:r w:rsidRPr="001968A5">
              <w:rPr>
                <w:rFonts w:ascii="Arial" w:hAnsi="Arial" w:cs="Arial"/>
                <w:color w:val="auto"/>
                <w:sz w:val="18"/>
                <w:szCs w:val="18"/>
              </w:rPr>
              <w:t>opex</w:t>
            </w:r>
            <w:proofErr w:type="spellEnd"/>
            <w:r w:rsidRPr="001968A5">
              <w:rPr>
                <w:rFonts w:ascii="Arial" w:hAnsi="Arial" w:cs="Arial"/>
                <w:color w:val="auto"/>
                <w:sz w:val="18"/>
                <w:szCs w:val="18"/>
              </w:rPr>
              <w:t xml:space="preserve"> capitalization involves amortizing a category of </w:t>
            </w:r>
            <w:proofErr w:type="spellStart"/>
            <w:r w:rsidRPr="001968A5">
              <w:rPr>
                <w:rFonts w:ascii="Arial" w:hAnsi="Arial" w:cs="Arial"/>
                <w:color w:val="auto"/>
                <w:sz w:val="18"/>
                <w:szCs w:val="18"/>
              </w:rPr>
              <w:t>opex</w:t>
            </w:r>
            <w:proofErr w:type="spellEnd"/>
            <w:r w:rsidRPr="001968A5">
              <w:rPr>
                <w:rFonts w:ascii="Arial" w:hAnsi="Arial" w:cs="Arial"/>
                <w:color w:val="auto"/>
                <w:sz w:val="18"/>
                <w:szCs w:val="18"/>
              </w:rPr>
              <w:t xml:space="preserve"> </w:t>
            </w:r>
            <w:r w:rsidRPr="001968A5" w:rsidDel="007E43FC">
              <w:rPr>
                <w:rFonts w:ascii="Arial" w:hAnsi="Arial" w:cs="Arial"/>
                <w:color w:val="auto"/>
                <w:sz w:val="18"/>
                <w:szCs w:val="18"/>
              </w:rPr>
              <w:t>and</w:t>
            </w:r>
            <w:r w:rsidRPr="001968A5">
              <w:rPr>
                <w:rFonts w:ascii="Arial" w:hAnsi="Arial" w:cs="Arial"/>
                <w:color w:val="auto"/>
                <w:sz w:val="18"/>
                <w:szCs w:val="18"/>
              </w:rPr>
              <w:t xml:space="preserve"> allowing a utility to earn a return on it over time. </w:t>
            </w:r>
            <w:r w:rsidRPr="001968A5">
              <w:rPr>
                <w:rFonts w:ascii="Arial" w:hAnsi="Arial" w:cs="Arial"/>
                <w:b/>
                <w:bCs/>
                <w:color w:val="auto"/>
                <w:sz w:val="18"/>
                <w:szCs w:val="18"/>
              </w:rPr>
              <w:t>Maryland</w:t>
            </w:r>
            <w:r w:rsidRPr="001968A5">
              <w:rPr>
                <w:rFonts w:ascii="Arial" w:hAnsi="Arial" w:cs="Arial"/>
                <w:color w:val="auto"/>
                <w:sz w:val="18"/>
                <w:szCs w:val="18"/>
              </w:rPr>
              <w:t xml:space="preserve"> and </w:t>
            </w:r>
            <w:r w:rsidRPr="001968A5">
              <w:rPr>
                <w:rFonts w:ascii="Arial" w:hAnsi="Arial" w:cs="Arial"/>
                <w:b/>
                <w:bCs/>
                <w:color w:val="auto"/>
                <w:sz w:val="18"/>
                <w:szCs w:val="18"/>
              </w:rPr>
              <w:t>New Jersey,</w:t>
            </w:r>
            <w:r w:rsidRPr="001968A5">
              <w:rPr>
                <w:rFonts w:ascii="Arial" w:hAnsi="Arial" w:cs="Arial"/>
                <w:color w:val="auto"/>
                <w:sz w:val="18"/>
                <w:szCs w:val="18"/>
              </w:rPr>
              <w:t xml:space="preserve"> for instance, allow capitalization of energy efficiency spending. Each state permits expenditures associated with energy efficiency programs to be amortized over a five and ten-year period, respectively, enabling utilities to evaluate efficiency investments on a level playing field relative to other investments.</w:t>
            </w:r>
          </w:p>
          <w:p w14:paraId="0EBD9F5E" w14:textId="77777777" w:rsidR="00401D23" w:rsidRDefault="00401D23" w:rsidP="00CE653A">
            <w:pPr>
              <w:pStyle w:val="p1"/>
              <w:rPr>
                <w:rFonts w:ascii="Arial" w:hAnsi="Arial" w:cs="Arial"/>
                <w:color w:val="auto"/>
                <w:sz w:val="18"/>
                <w:szCs w:val="18"/>
              </w:rPr>
            </w:pPr>
          </w:p>
          <w:p w14:paraId="3C53784A" w14:textId="020838C1" w:rsidR="00401D23" w:rsidRPr="002104AC" w:rsidRDefault="00401D23" w:rsidP="002104AC">
            <w:pPr>
              <w:pStyle w:val="p1"/>
              <w:rPr>
                <w:rFonts w:ascii="Arial" w:hAnsi="Arial" w:cs="Arial"/>
                <w:color w:val="auto"/>
                <w:sz w:val="18"/>
                <w:szCs w:val="18"/>
              </w:rPr>
            </w:pPr>
            <w:r w:rsidRPr="001968A5">
              <w:rPr>
                <w:rFonts w:ascii="Arial" w:hAnsi="Arial" w:cs="Arial"/>
                <w:color w:val="auto"/>
                <w:sz w:val="18"/>
                <w:szCs w:val="18"/>
              </w:rPr>
              <w:t xml:space="preserve">While </w:t>
            </w:r>
            <w:proofErr w:type="spellStart"/>
            <w:r w:rsidRPr="001968A5">
              <w:rPr>
                <w:rFonts w:ascii="Arial" w:hAnsi="Arial" w:cs="Arial"/>
                <w:color w:val="auto"/>
                <w:sz w:val="18"/>
                <w:szCs w:val="18"/>
              </w:rPr>
              <w:t>opex</w:t>
            </w:r>
            <w:proofErr w:type="spellEnd"/>
            <w:r w:rsidRPr="001968A5">
              <w:rPr>
                <w:rFonts w:ascii="Arial" w:hAnsi="Arial" w:cs="Arial"/>
                <w:color w:val="auto"/>
                <w:sz w:val="18"/>
                <w:szCs w:val="18"/>
              </w:rPr>
              <w:t xml:space="preserve"> capitalization is typically restricted to a particular project or activity, </w:t>
            </w:r>
            <w:proofErr w:type="spellStart"/>
            <w:r w:rsidRPr="001968A5">
              <w:rPr>
                <w:rFonts w:ascii="Arial" w:hAnsi="Arial" w:cs="Arial"/>
                <w:b/>
                <w:bCs/>
                <w:color w:val="auto"/>
                <w:sz w:val="18"/>
                <w:szCs w:val="18"/>
              </w:rPr>
              <w:t>totex</w:t>
            </w:r>
            <w:proofErr w:type="spellEnd"/>
            <w:r w:rsidRPr="001968A5">
              <w:rPr>
                <w:rFonts w:ascii="Arial" w:hAnsi="Arial" w:cs="Arial"/>
                <w:b/>
                <w:bCs/>
                <w:color w:val="auto"/>
                <w:sz w:val="18"/>
                <w:szCs w:val="18"/>
              </w:rPr>
              <w:t xml:space="preserve"> ratemaking </w:t>
            </w:r>
            <w:r w:rsidRPr="001968A5">
              <w:rPr>
                <w:rFonts w:ascii="Arial" w:hAnsi="Arial" w:cs="Arial"/>
                <w:color w:val="auto"/>
                <w:sz w:val="18"/>
                <w:szCs w:val="18"/>
              </w:rPr>
              <w:t xml:space="preserve">takes a comprehensive view of capex bias seeks to eliminate the distinction between capex and </w:t>
            </w:r>
            <w:proofErr w:type="spellStart"/>
            <w:r w:rsidRPr="001968A5">
              <w:rPr>
                <w:rFonts w:ascii="Arial" w:hAnsi="Arial" w:cs="Arial"/>
                <w:color w:val="auto"/>
                <w:sz w:val="18"/>
                <w:szCs w:val="18"/>
              </w:rPr>
              <w:t>opex</w:t>
            </w:r>
            <w:proofErr w:type="spellEnd"/>
            <w:r w:rsidRPr="001968A5">
              <w:rPr>
                <w:rFonts w:ascii="Arial" w:hAnsi="Arial" w:cs="Arial"/>
                <w:color w:val="auto"/>
                <w:sz w:val="18"/>
                <w:szCs w:val="18"/>
              </w:rPr>
              <w:t xml:space="preserve"> for ratemaking purposes. </w:t>
            </w:r>
            <w:r w:rsidR="005A2969">
              <w:rPr>
                <w:rFonts w:ascii="Arial" w:hAnsi="Arial" w:cs="Arial"/>
                <w:color w:val="auto"/>
                <w:sz w:val="18"/>
                <w:szCs w:val="18"/>
              </w:rPr>
              <w:t>P</w:t>
            </w:r>
            <w:r w:rsidRPr="001968A5">
              <w:rPr>
                <w:rFonts w:ascii="Arial" w:hAnsi="Arial" w:cs="Arial"/>
                <w:color w:val="auto"/>
                <w:sz w:val="18"/>
                <w:szCs w:val="18"/>
              </w:rPr>
              <w:t xml:space="preserve">ooling capex and </w:t>
            </w:r>
            <w:proofErr w:type="spellStart"/>
            <w:r w:rsidRPr="001968A5">
              <w:rPr>
                <w:rFonts w:ascii="Arial" w:hAnsi="Arial" w:cs="Arial"/>
                <w:color w:val="auto"/>
                <w:sz w:val="18"/>
                <w:szCs w:val="18"/>
              </w:rPr>
              <w:t>opex</w:t>
            </w:r>
            <w:proofErr w:type="spellEnd"/>
            <w:r w:rsidRPr="001968A5">
              <w:rPr>
                <w:rFonts w:ascii="Arial" w:hAnsi="Arial" w:cs="Arial"/>
                <w:color w:val="auto"/>
                <w:sz w:val="18"/>
                <w:szCs w:val="18"/>
              </w:rPr>
              <w:t xml:space="preserve"> to form total expenditures </w:t>
            </w:r>
            <w:r w:rsidR="00B87812">
              <w:rPr>
                <w:rFonts w:ascii="Arial" w:hAnsi="Arial" w:cs="Arial"/>
                <w:color w:val="auto"/>
                <w:sz w:val="18"/>
                <w:szCs w:val="18"/>
              </w:rPr>
              <w:t>–</w:t>
            </w:r>
            <w:r w:rsidRPr="001968A5">
              <w:rPr>
                <w:rFonts w:ascii="Arial" w:hAnsi="Arial" w:cs="Arial"/>
                <w:color w:val="auto"/>
                <w:sz w:val="18"/>
                <w:szCs w:val="18"/>
              </w:rPr>
              <w:t xml:space="preserve"> or </w:t>
            </w:r>
            <w:proofErr w:type="spellStart"/>
            <w:r w:rsidRPr="001968A5">
              <w:rPr>
                <w:rFonts w:ascii="Arial" w:hAnsi="Arial" w:cs="Arial"/>
                <w:color w:val="auto"/>
                <w:sz w:val="18"/>
                <w:szCs w:val="18"/>
              </w:rPr>
              <w:t>totex</w:t>
            </w:r>
            <w:proofErr w:type="spellEnd"/>
            <w:r w:rsidRPr="001968A5">
              <w:rPr>
                <w:rFonts w:ascii="Arial" w:hAnsi="Arial" w:cs="Arial"/>
                <w:color w:val="auto"/>
                <w:sz w:val="18"/>
                <w:szCs w:val="18"/>
              </w:rPr>
              <w:t xml:space="preserve"> </w:t>
            </w:r>
            <w:r w:rsidR="00B87812">
              <w:rPr>
                <w:rFonts w:ascii="Arial" w:hAnsi="Arial" w:cs="Arial"/>
                <w:color w:val="auto"/>
                <w:sz w:val="18"/>
                <w:szCs w:val="18"/>
              </w:rPr>
              <w:t>–</w:t>
            </w:r>
            <w:r w:rsidRPr="001968A5">
              <w:rPr>
                <w:rFonts w:ascii="Arial" w:hAnsi="Arial" w:cs="Arial"/>
                <w:color w:val="auto"/>
                <w:sz w:val="18"/>
                <w:szCs w:val="18"/>
              </w:rPr>
              <w:t xml:space="preserve"> and then using a predetermined capitalization rate to divide </w:t>
            </w:r>
            <w:proofErr w:type="spellStart"/>
            <w:r w:rsidRPr="001968A5">
              <w:rPr>
                <w:rFonts w:ascii="Arial" w:hAnsi="Arial" w:cs="Arial"/>
                <w:color w:val="auto"/>
                <w:sz w:val="18"/>
                <w:szCs w:val="18"/>
              </w:rPr>
              <w:t>totex</w:t>
            </w:r>
            <w:proofErr w:type="spellEnd"/>
            <w:r w:rsidRPr="001968A5">
              <w:rPr>
                <w:rFonts w:ascii="Arial" w:hAnsi="Arial" w:cs="Arial"/>
                <w:color w:val="auto"/>
                <w:sz w:val="18"/>
                <w:szCs w:val="18"/>
              </w:rPr>
              <w:t xml:space="preserve"> into two categories called fast money and slow money. Fast money functions like </w:t>
            </w:r>
            <w:proofErr w:type="spellStart"/>
            <w:r w:rsidRPr="001968A5">
              <w:rPr>
                <w:rFonts w:ascii="Arial" w:hAnsi="Arial" w:cs="Arial"/>
                <w:color w:val="auto"/>
                <w:sz w:val="18"/>
                <w:szCs w:val="18"/>
              </w:rPr>
              <w:t>opex</w:t>
            </w:r>
            <w:proofErr w:type="spellEnd"/>
            <w:r w:rsidRPr="001968A5">
              <w:rPr>
                <w:rFonts w:ascii="Arial" w:hAnsi="Arial" w:cs="Arial"/>
                <w:color w:val="auto"/>
                <w:sz w:val="18"/>
                <w:szCs w:val="18"/>
              </w:rPr>
              <w:t xml:space="preserve"> in traditional ratemaking (i.e., as a pass-through), whereas slow money functions like capex (i.e., it is added to rate base, amortized, and earns a return for utility investors). Since the capitalization rate applies equally to all controllable expenditures, the utility can no longer grow its rate base by substituting capex for </w:t>
            </w:r>
            <w:proofErr w:type="spellStart"/>
            <w:r w:rsidRPr="001968A5">
              <w:rPr>
                <w:rFonts w:ascii="Arial" w:hAnsi="Arial" w:cs="Arial"/>
                <w:color w:val="auto"/>
                <w:sz w:val="18"/>
                <w:szCs w:val="18"/>
              </w:rPr>
              <w:t>opex</w:t>
            </w:r>
            <w:proofErr w:type="spellEnd"/>
            <w:r w:rsidRPr="001968A5">
              <w:rPr>
                <w:rFonts w:ascii="Arial" w:hAnsi="Arial" w:cs="Arial"/>
                <w:color w:val="auto"/>
                <w:sz w:val="18"/>
                <w:szCs w:val="18"/>
              </w:rPr>
              <w:t xml:space="preserve"> during the MRP. Recent research indicates that </w:t>
            </w:r>
            <w:proofErr w:type="spellStart"/>
            <w:r w:rsidRPr="001968A5">
              <w:rPr>
                <w:rFonts w:ascii="Arial" w:hAnsi="Arial" w:cs="Arial"/>
                <w:color w:val="auto"/>
                <w:sz w:val="18"/>
                <w:szCs w:val="18"/>
              </w:rPr>
              <w:t>totex</w:t>
            </w:r>
            <w:proofErr w:type="spellEnd"/>
            <w:r w:rsidRPr="001968A5">
              <w:rPr>
                <w:rFonts w:ascii="Arial" w:hAnsi="Arial" w:cs="Arial"/>
                <w:color w:val="auto"/>
                <w:sz w:val="18"/>
                <w:szCs w:val="18"/>
              </w:rPr>
              <w:t xml:space="preserve"> ratemaking is in fact compatible with US accounting standards. The</w:t>
            </w:r>
            <w:r w:rsidRPr="001968A5">
              <w:rPr>
                <w:rFonts w:ascii="Arial" w:hAnsi="Arial" w:cs="Arial"/>
                <w:b/>
                <w:bCs/>
                <w:color w:val="auto"/>
                <w:sz w:val="18"/>
                <w:szCs w:val="18"/>
              </w:rPr>
              <w:t xml:space="preserve"> United Kingdom </w:t>
            </w:r>
            <w:r w:rsidRPr="001968A5">
              <w:rPr>
                <w:rFonts w:ascii="Arial" w:hAnsi="Arial" w:cs="Arial"/>
                <w:color w:val="auto"/>
                <w:sz w:val="18"/>
                <w:szCs w:val="18"/>
              </w:rPr>
              <w:t xml:space="preserve">currently uses </w:t>
            </w:r>
            <w:proofErr w:type="spellStart"/>
            <w:r w:rsidRPr="001968A5">
              <w:rPr>
                <w:rFonts w:ascii="Arial" w:hAnsi="Arial" w:cs="Arial"/>
                <w:color w:val="auto"/>
                <w:sz w:val="18"/>
                <w:szCs w:val="18"/>
              </w:rPr>
              <w:t>totex</w:t>
            </w:r>
            <w:proofErr w:type="spellEnd"/>
            <w:r w:rsidRPr="001968A5">
              <w:rPr>
                <w:rFonts w:ascii="Arial" w:hAnsi="Arial" w:cs="Arial"/>
                <w:color w:val="auto"/>
                <w:sz w:val="18"/>
                <w:szCs w:val="18"/>
              </w:rPr>
              <w:t xml:space="preserve"> ratemaking</w:t>
            </w:r>
            <w:r w:rsidR="00111BE2">
              <w:rPr>
                <w:rFonts w:ascii="Arial" w:hAnsi="Arial" w:cs="Arial"/>
                <w:color w:val="auto"/>
                <w:sz w:val="18"/>
                <w:szCs w:val="18"/>
              </w:rPr>
              <w:t xml:space="preserve">, along with </w:t>
            </w:r>
            <w:r w:rsidR="006C20A1">
              <w:rPr>
                <w:rFonts w:ascii="Arial" w:hAnsi="Arial" w:cs="Arial"/>
                <w:color w:val="auto"/>
                <w:sz w:val="18"/>
                <w:szCs w:val="18"/>
              </w:rPr>
              <w:t>other s</w:t>
            </w:r>
            <w:r w:rsidR="006C20A1" w:rsidRPr="006C20A1">
              <w:rPr>
                <w:rFonts w:ascii="Arial" w:hAnsi="Arial" w:cs="Arial"/>
                <w:color w:val="auto"/>
                <w:sz w:val="18"/>
                <w:szCs w:val="18"/>
              </w:rPr>
              <w:t>trategies</w:t>
            </w:r>
            <w:r w:rsidR="00C9579B">
              <w:rPr>
                <w:rFonts w:ascii="Arial" w:hAnsi="Arial" w:cs="Arial"/>
                <w:color w:val="auto"/>
                <w:sz w:val="18"/>
                <w:szCs w:val="18"/>
              </w:rPr>
              <w:t>,</w:t>
            </w:r>
            <w:r w:rsidR="006C20A1" w:rsidRPr="006C20A1">
              <w:rPr>
                <w:rFonts w:ascii="Arial" w:hAnsi="Arial" w:cs="Arial"/>
                <w:color w:val="auto"/>
                <w:sz w:val="18"/>
                <w:szCs w:val="18"/>
              </w:rPr>
              <w:t xml:space="preserve"> </w:t>
            </w:r>
            <w:r w:rsidR="00C9579B">
              <w:rPr>
                <w:rFonts w:ascii="Arial" w:hAnsi="Arial" w:cs="Arial"/>
                <w:color w:val="auto"/>
                <w:sz w:val="18"/>
                <w:szCs w:val="18"/>
              </w:rPr>
              <w:t>to</w:t>
            </w:r>
            <w:r w:rsidR="006C20A1" w:rsidRPr="006C20A1">
              <w:rPr>
                <w:rFonts w:ascii="Arial" w:hAnsi="Arial" w:cs="Arial"/>
                <w:color w:val="auto"/>
                <w:sz w:val="18"/>
                <w:szCs w:val="18"/>
              </w:rPr>
              <w:t xml:space="preserve"> </w:t>
            </w:r>
            <w:r w:rsidR="006C20A1">
              <w:rPr>
                <w:rFonts w:ascii="Arial" w:hAnsi="Arial" w:cs="Arial"/>
                <w:color w:val="auto"/>
                <w:sz w:val="18"/>
                <w:szCs w:val="18"/>
              </w:rPr>
              <w:t>e</w:t>
            </w:r>
            <w:r w:rsidR="006C20A1" w:rsidRPr="006C20A1">
              <w:rPr>
                <w:rFonts w:ascii="Arial" w:hAnsi="Arial" w:cs="Arial"/>
                <w:color w:val="auto"/>
                <w:sz w:val="18"/>
                <w:szCs w:val="18"/>
              </w:rPr>
              <w:t>ncourage</w:t>
            </w:r>
            <w:r w:rsidR="00C9579B">
              <w:rPr>
                <w:rFonts w:ascii="Arial" w:hAnsi="Arial" w:cs="Arial"/>
                <w:color w:val="auto"/>
                <w:sz w:val="18"/>
                <w:szCs w:val="18"/>
              </w:rPr>
              <w:t xml:space="preserve"> utility</w:t>
            </w:r>
            <w:r w:rsidR="006C20A1" w:rsidRPr="006C20A1">
              <w:rPr>
                <w:rFonts w:ascii="Arial" w:hAnsi="Arial" w:cs="Arial"/>
                <w:color w:val="auto"/>
                <w:sz w:val="18"/>
                <w:szCs w:val="18"/>
              </w:rPr>
              <w:t xml:space="preserve"> </w:t>
            </w:r>
            <w:r w:rsidR="006C20A1">
              <w:rPr>
                <w:rFonts w:ascii="Arial" w:hAnsi="Arial" w:cs="Arial"/>
                <w:color w:val="auto"/>
                <w:sz w:val="18"/>
                <w:szCs w:val="18"/>
              </w:rPr>
              <w:t>c</w:t>
            </w:r>
            <w:r w:rsidR="006C20A1" w:rsidRPr="006C20A1">
              <w:rPr>
                <w:rFonts w:ascii="Arial" w:hAnsi="Arial" w:cs="Arial"/>
                <w:color w:val="auto"/>
                <w:sz w:val="18"/>
                <w:szCs w:val="18"/>
              </w:rPr>
              <w:t xml:space="preserve">ost </w:t>
            </w:r>
            <w:r w:rsidR="006C20A1">
              <w:rPr>
                <w:rFonts w:ascii="Arial" w:hAnsi="Arial" w:cs="Arial"/>
                <w:color w:val="auto"/>
                <w:sz w:val="18"/>
                <w:szCs w:val="18"/>
              </w:rPr>
              <w:t>c</w:t>
            </w:r>
            <w:r w:rsidR="006C20A1" w:rsidRPr="006C20A1">
              <w:rPr>
                <w:rFonts w:ascii="Arial" w:hAnsi="Arial" w:cs="Arial"/>
                <w:color w:val="auto"/>
                <w:sz w:val="18"/>
                <w:szCs w:val="18"/>
              </w:rPr>
              <w:t>ontrol</w:t>
            </w:r>
            <w:r w:rsidRPr="001968A5">
              <w:rPr>
                <w:rFonts w:ascii="Arial" w:hAnsi="Arial" w:cs="Arial"/>
                <w:color w:val="auto"/>
                <w:sz w:val="18"/>
                <w:szCs w:val="18"/>
              </w:rPr>
              <w:t>.</w:t>
            </w:r>
          </w:p>
        </w:tc>
      </w:tr>
      <w:tr w:rsidR="00401D23" w:rsidRPr="009E495E" w14:paraId="6CCC7BB6" w14:textId="77777777" w:rsidTr="65AE7816">
        <w:trPr>
          <w:trHeight w:val="735"/>
        </w:trPr>
        <w:tc>
          <w:tcPr>
            <w:tcW w:w="1260" w:type="dxa"/>
            <w:vMerge/>
          </w:tcPr>
          <w:p w14:paraId="1D6A26E7" w14:textId="77777777" w:rsidR="00401D23" w:rsidRPr="009E495E" w:rsidRDefault="00401D23" w:rsidP="00936B31">
            <w:pPr>
              <w:pStyle w:val="TableParagraph"/>
              <w:keepLines/>
              <w:widowControl/>
              <w:spacing w:line="266" w:lineRule="auto"/>
              <w:ind w:left="60"/>
              <w:rPr>
                <w:b/>
                <w:sz w:val="18"/>
                <w:szCs w:val="2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33161" w14:textId="50065DFC" w:rsidR="00401D23" w:rsidRPr="009E495E" w:rsidRDefault="00401D23" w:rsidP="00936B31">
            <w:pPr>
              <w:pStyle w:val="TableParagraph"/>
              <w:keepLines/>
              <w:widowControl/>
              <w:spacing w:before="98" w:line="232" w:lineRule="auto"/>
              <w:ind w:left="104" w:right="149"/>
              <w:rPr>
                <w:sz w:val="18"/>
                <w:szCs w:val="20"/>
              </w:rPr>
            </w:pPr>
            <w:r w:rsidRPr="009E495E">
              <w:rPr>
                <w:sz w:val="18"/>
                <w:szCs w:val="20"/>
              </w:rPr>
              <w:t xml:space="preserve">Backward-looking (w/ earnings adjustments) </w:t>
            </w:r>
          </w:p>
        </w:tc>
        <w:tc>
          <w:tcPr>
            <w:tcW w:w="1170" w:type="dxa"/>
            <w:vMerge/>
          </w:tcPr>
          <w:p w14:paraId="2C0ACD02" w14:textId="77777777" w:rsidR="00401D23" w:rsidRPr="001968A5" w:rsidRDefault="00401D23" w:rsidP="00936B31">
            <w:pPr>
              <w:pStyle w:val="TableParagraph"/>
              <w:keepLines/>
              <w:widowControl/>
              <w:rPr>
                <w:sz w:val="18"/>
                <w:szCs w:val="18"/>
              </w:rPr>
            </w:pPr>
          </w:p>
        </w:tc>
        <w:tc>
          <w:tcPr>
            <w:tcW w:w="3060" w:type="dxa"/>
            <w:vMerge/>
          </w:tcPr>
          <w:p w14:paraId="053409F0" w14:textId="2ACFC7D0" w:rsidR="00401D23" w:rsidRPr="001968A5" w:rsidRDefault="00401D23" w:rsidP="00936B31">
            <w:pPr>
              <w:pStyle w:val="TableParagraph"/>
              <w:keepLines/>
              <w:widowControl/>
              <w:rPr>
                <w:sz w:val="18"/>
                <w:szCs w:val="18"/>
              </w:rPr>
            </w:pPr>
          </w:p>
        </w:tc>
        <w:tc>
          <w:tcPr>
            <w:tcW w:w="7830" w:type="dxa"/>
            <w:vMerge/>
          </w:tcPr>
          <w:p w14:paraId="386DF13D" w14:textId="77777777" w:rsidR="00401D23" w:rsidRPr="001968A5" w:rsidRDefault="00401D23" w:rsidP="00936B31">
            <w:pPr>
              <w:pStyle w:val="TableParagraph"/>
              <w:keepLines/>
              <w:widowControl/>
              <w:rPr>
                <w:sz w:val="18"/>
                <w:szCs w:val="20"/>
              </w:rPr>
            </w:pPr>
          </w:p>
        </w:tc>
      </w:tr>
      <w:tr w:rsidR="00401D23" w:rsidRPr="009E495E" w14:paraId="694F2E9D" w14:textId="77777777" w:rsidTr="65AE7816">
        <w:trPr>
          <w:trHeight w:val="302"/>
        </w:trPr>
        <w:tc>
          <w:tcPr>
            <w:tcW w:w="1260" w:type="dxa"/>
            <w:vAlign w:val="center"/>
          </w:tcPr>
          <w:p w14:paraId="74C1A3B5" w14:textId="41EC9DD7" w:rsidR="00401D23" w:rsidRPr="009E495E" w:rsidRDefault="00401D23" w:rsidP="00936B31">
            <w:pPr>
              <w:pStyle w:val="TableParagraph"/>
              <w:keepLines/>
              <w:widowControl/>
              <w:spacing w:line="266" w:lineRule="auto"/>
              <w:ind w:left="60"/>
              <w:rPr>
                <w:b/>
                <w:sz w:val="18"/>
                <w:szCs w:val="20"/>
              </w:rPr>
            </w:pPr>
            <w:r w:rsidRPr="009E495E">
              <w:rPr>
                <w:b/>
                <w:sz w:val="18"/>
                <w:szCs w:val="20"/>
              </w:rPr>
              <w:t>ROE Determinations</w:t>
            </w:r>
          </w:p>
        </w:tc>
        <w:tc>
          <w:tcPr>
            <w:tcW w:w="1260" w:type="dxa"/>
          </w:tcPr>
          <w:p w14:paraId="43B25263" w14:textId="77777777" w:rsidR="00401D23" w:rsidRPr="009E495E" w:rsidRDefault="00401D23" w:rsidP="00936B31">
            <w:pPr>
              <w:pStyle w:val="TableParagraph"/>
              <w:keepLines/>
              <w:widowControl/>
              <w:spacing w:before="98" w:line="232" w:lineRule="auto"/>
              <w:ind w:left="104" w:right="149"/>
              <w:rPr>
                <w:sz w:val="18"/>
                <w:szCs w:val="20"/>
              </w:rPr>
            </w:pPr>
          </w:p>
        </w:tc>
        <w:tc>
          <w:tcPr>
            <w:tcW w:w="1170" w:type="dxa"/>
          </w:tcPr>
          <w:p w14:paraId="1E5224AD" w14:textId="77777777" w:rsidR="00401D23" w:rsidRDefault="00401D23" w:rsidP="005E261E">
            <w:pPr>
              <w:pStyle w:val="TableParagraph"/>
              <w:keepLines/>
              <w:widowControl/>
              <w:numPr>
                <w:ilvl w:val="0"/>
                <w:numId w:val="6"/>
              </w:numPr>
              <w:ind w:left="144" w:hanging="144"/>
              <w:rPr>
                <w:sz w:val="18"/>
                <w:szCs w:val="20"/>
              </w:rPr>
            </w:pPr>
            <w:r>
              <w:rPr>
                <w:sz w:val="18"/>
                <w:szCs w:val="20"/>
              </w:rPr>
              <w:t>Affordability</w:t>
            </w:r>
          </w:p>
          <w:p w14:paraId="58CEFDB5" w14:textId="5055C63B" w:rsidR="00401D23" w:rsidRPr="001968A5" w:rsidRDefault="00401D23" w:rsidP="005E261E">
            <w:pPr>
              <w:pStyle w:val="TableParagraph"/>
              <w:keepLines/>
              <w:widowControl/>
              <w:numPr>
                <w:ilvl w:val="0"/>
                <w:numId w:val="6"/>
              </w:numPr>
              <w:ind w:left="144" w:hanging="144"/>
              <w:rPr>
                <w:sz w:val="18"/>
                <w:szCs w:val="20"/>
              </w:rPr>
            </w:pPr>
            <w:r w:rsidRPr="00C03A9C">
              <w:rPr>
                <w:sz w:val="18"/>
                <w:szCs w:val="18"/>
              </w:rPr>
              <w:t>Cost-efficient utility investments and operations</w:t>
            </w:r>
          </w:p>
        </w:tc>
        <w:tc>
          <w:tcPr>
            <w:tcW w:w="3060" w:type="dxa"/>
          </w:tcPr>
          <w:p w14:paraId="3B0E4988" w14:textId="7104B4AA" w:rsidR="00401D23" w:rsidRDefault="00A77008" w:rsidP="00936B31">
            <w:pPr>
              <w:pStyle w:val="TableParagraph"/>
              <w:keepLines/>
              <w:widowControl/>
              <w:rPr>
                <w:sz w:val="18"/>
                <w:szCs w:val="20"/>
              </w:rPr>
            </w:pPr>
            <w:r w:rsidRPr="00227D6D">
              <w:rPr>
                <w:sz w:val="18"/>
                <w:szCs w:val="20"/>
              </w:rPr>
              <w:t xml:space="preserve">Until recently, the </w:t>
            </w:r>
            <w:r w:rsidR="00401D23" w:rsidRPr="001968A5">
              <w:rPr>
                <w:sz w:val="18"/>
                <w:szCs w:val="20"/>
              </w:rPr>
              <w:t xml:space="preserve">SCC </w:t>
            </w:r>
            <w:r w:rsidRPr="00227D6D">
              <w:rPr>
                <w:sz w:val="18"/>
                <w:szCs w:val="20"/>
              </w:rPr>
              <w:t>was</w:t>
            </w:r>
            <w:r w:rsidR="00401D23" w:rsidRPr="001968A5">
              <w:rPr>
                <w:sz w:val="18"/>
                <w:szCs w:val="20"/>
              </w:rPr>
              <w:t xml:space="preserve"> prohibited from lowering authorized ROE for Virginia’s investor-owned utilities below the average of a peer group of vertically integrated utilities operating in the Southeast. </w:t>
            </w:r>
            <w:r w:rsidR="006C6EFF" w:rsidRPr="00227D6D">
              <w:rPr>
                <w:sz w:val="18"/>
                <w:szCs w:val="20"/>
              </w:rPr>
              <w:t>It is our understanding that t</w:t>
            </w:r>
            <w:r w:rsidR="007B499D" w:rsidRPr="00227D6D">
              <w:rPr>
                <w:sz w:val="18"/>
                <w:szCs w:val="20"/>
              </w:rPr>
              <w:t>h</w:t>
            </w:r>
            <w:r w:rsidR="006C6EFF" w:rsidRPr="00227D6D">
              <w:rPr>
                <w:sz w:val="18"/>
                <w:szCs w:val="20"/>
              </w:rPr>
              <w:t>e</w:t>
            </w:r>
            <w:r w:rsidR="007B499D" w:rsidRPr="00227D6D">
              <w:rPr>
                <w:sz w:val="18"/>
                <w:szCs w:val="20"/>
              </w:rPr>
              <w:t xml:space="preserve"> restrictions on setting ROE</w:t>
            </w:r>
            <w:r w:rsidR="006C6EFF" w:rsidRPr="00227D6D">
              <w:rPr>
                <w:sz w:val="18"/>
                <w:szCs w:val="20"/>
              </w:rPr>
              <w:t xml:space="preserve"> based on a peer group of </w:t>
            </w:r>
            <w:proofErr w:type="spellStart"/>
            <w:r w:rsidR="006C6EFF" w:rsidRPr="00227D6D">
              <w:rPr>
                <w:sz w:val="18"/>
                <w:szCs w:val="20"/>
              </w:rPr>
              <w:t>utilitlies</w:t>
            </w:r>
            <w:proofErr w:type="spellEnd"/>
            <w:r w:rsidR="007B499D" w:rsidRPr="00227D6D">
              <w:rPr>
                <w:sz w:val="18"/>
                <w:szCs w:val="20"/>
              </w:rPr>
              <w:t xml:space="preserve"> </w:t>
            </w:r>
            <w:r w:rsidR="006C6EFF" w:rsidRPr="00227D6D">
              <w:rPr>
                <w:sz w:val="18"/>
                <w:szCs w:val="20"/>
              </w:rPr>
              <w:t xml:space="preserve">have </w:t>
            </w:r>
            <w:r w:rsidR="007B499D" w:rsidRPr="00227D6D">
              <w:rPr>
                <w:sz w:val="18"/>
                <w:szCs w:val="20"/>
              </w:rPr>
              <w:t>been removed</w:t>
            </w:r>
            <w:r w:rsidR="006C747B" w:rsidRPr="00227D6D">
              <w:rPr>
                <w:sz w:val="18"/>
                <w:szCs w:val="20"/>
              </w:rPr>
              <w:t>. (See Clean VA’s regulatory assessment template on Affordability for more information).</w:t>
            </w:r>
          </w:p>
          <w:p w14:paraId="7D8CDF19" w14:textId="77777777" w:rsidR="00401D23" w:rsidRPr="001968A5" w:rsidRDefault="00401D23" w:rsidP="00936B31">
            <w:pPr>
              <w:pStyle w:val="TableParagraph"/>
              <w:keepLines/>
              <w:widowControl/>
              <w:rPr>
                <w:sz w:val="18"/>
                <w:szCs w:val="20"/>
              </w:rPr>
            </w:pPr>
          </w:p>
          <w:p w14:paraId="0A1738A7" w14:textId="6A2D8320" w:rsidR="00401D23" w:rsidRPr="001968A5" w:rsidRDefault="00401D23" w:rsidP="00936B31">
            <w:pPr>
              <w:pStyle w:val="TableParagraph"/>
              <w:keepLines/>
              <w:widowControl/>
              <w:rPr>
                <w:rFonts w:eastAsia="Segoe UI"/>
                <w:sz w:val="18"/>
                <w:szCs w:val="18"/>
              </w:rPr>
            </w:pPr>
          </w:p>
        </w:tc>
        <w:tc>
          <w:tcPr>
            <w:tcW w:w="7830" w:type="dxa"/>
          </w:tcPr>
          <w:p w14:paraId="514ED65F" w14:textId="6FBB08D0" w:rsidR="008360DB" w:rsidRDefault="000F1B17" w:rsidP="0082676B">
            <w:pPr>
              <w:pStyle w:val="TableParagraph"/>
              <w:keepLines/>
              <w:rPr>
                <w:sz w:val="18"/>
                <w:szCs w:val="20"/>
              </w:rPr>
            </w:pPr>
            <w:r>
              <w:rPr>
                <w:sz w:val="18"/>
                <w:szCs w:val="20"/>
              </w:rPr>
              <w:t xml:space="preserve">While the use </w:t>
            </w:r>
            <w:r w:rsidR="00401D23" w:rsidRPr="00163418">
              <w:rPr>
                <w:sz w:val="18"/>
                <w:szCs w:val="20"/>
              </w:rPr>
              <w:t xml:space="preserve">of peer </w:t>
            </w:r>
            <w:r>
              <w:rPr>
                <w:sz w:val="18"/>
                <w:szCs w:val="20"/>
              </w:rPr>
              <w:t xml:space="preserve">benchmarking </w:t>
            </w:r>
            <w:r w:rsidR="00A30BCC">
              <w:rPr>
                <w:sz w:val="18"/>
                <w:szCs w:val="20"/>
              </w:rPr>
              <w:t>is often used as</w:t>
            </w:r>
            <w:r>
              <w:rPr>
                <w:sz w:val="18"/>
                <w:szCs w:val="20"/>
              </w:rPr>
              <w:t xml:space="preserve"> </w:t>
            </w:r>
            <w:r w:rsidR="008E02B3">
              <w:rPr>
                <w:sz w:val="18"/>
                <w:szCs w:val="20"/>
              </w:rPr>
              <w:t xml:space="preserve">a data point in setting </w:t>
            </w:r>
            <w:r w:rsidR="00B25223">
              <w:rPr>
                <w:sz w:val="18"/>
                <w:szCs w:val="20"/>
              </w:rPr>
              <w:t>a utility’s</w:t>
            </w:r>
            <w:r w:rsidR="008E02B3">
              <w:rPr>
                <w:sz w:val="18"/>
                <w:szCs w:val="20"/>
              </w:rPr>
              <w:t xml:space="preserve"> authorized ROE</w:t>
            </w:r>
            <w:r>
              <w:rPr>
                <w:sz w:val="18"/>
                <w:szCs w:val="20"/>
              </w:rPr>
              <w:t xml:space="preserve">, </w:t>
            </w:r>
            <w:r w:rsidR="00E26DE0">
              <w:rPr>
                <w:sz w:val="18"/>
                <w:szCs w:val="20"/>
              </w:rPr>
              <w:t xml:space="preserve">the </w:t>
            </w:r>
            <w:r w:rsidR="00EE3A20">
              <w:rPr>
                <w:sz w:val="18"/>
                <w:szCs w:val="20"/>
              </w:rPr>
              <w:t xml:space="preserve">restriction on setting </w:t>
            </w:r>
            <w:r w:rsidR="00A471E5">
              <w:rPr>
                <w:sz w:val="18"/>
                <w:szCs w:val="20"/>
              </w:rPr>
              <w:t xml:space="preserve">ROE </w:t>
            </w:r>
            <w:r w:rsidR="00C80EEB">
              <w:rPr>
                <w:sz w:val="18"/>
                <w:szCs w:val="20"/>
              </w:rPr>
              <w:t xml:space="preserve">below a peer group average </w:t>
            </w:r>
            <w:r w:rsidR="00080D19">
              <w:rPr>
                <w:sz w:val="18"/>
                <w:szCs w:val="20"/>
              </w:rPr>
              <w:t>can be problemati</w:t>
            </w:r>
            <w:r w:rsidR="00201942">
              <w:rPr>
                <w:sz w:val="18"/>
                <w:szCs w:val="20"/>
              </w:rPr>
              <w:t>c since s</w:t>
            </w:r>
            <w:r w:rsidR="00765222" w:rsidRPr="00765222">
              <w:rPr>
                <w:sz w:val="18"/>
                <w:szCs w:val="20"/>
              </w:rPr>
              <w:t xml:space="preserve">triving to be at or above </w:t>
            </w:r>
            <w:r w:rsidR="0082676B">
              <w:rPr>
                <w:sz w:val="18"/>
                <w:szCs w:val="20"/>
              </w:rPr>
              <w:t xml:space="preserve">an average </w:t>
            </w:r>
            <w:r w:rsidR="00765222" w:rsidRPr="00765222">
              <w:rPr>
                <w:sz w:val="18"/>
                <w:szCs w:val="20"/>
              </w:rPr>
              <w:t xml:space="preserve">raises the </w:t>
            </w:r>
            <w:r w:rsidR="0082676B">
              <w:rPr>
                <w:sz w:val="18"/>
                <w:szCs w:val="20"/>
              </w:rPr>
              <w:t>average</w:t>
            </w:r>
            <w:r w:rsidR="00765222" w:rsidRPr="00765222">
              <w:rPr>
                <w:sz w:val="18"/>
                <w:szCs w:val="20"/>
              </w:rPr>
              <w:t>, costing customers more. It could also reinforce suboptimal practices employed by peer jurisdictions</w:t>
            </w:r>
            <w:r w:rsidR="0082676B">
              <w:rPr>
                <w:sz w:val="18"/>
                <w:szCs w:val="20"/>
              </w:rPr>
              <w:t>.</w:t>
            </w:r>
            <w:r w:rsidR="00080D19">
              <w:rPr>
                <w:sz w:val="18"/>
                <w:szCs w:val="20"/>
              </w:rPr>
              <w:t xml:space="preserve"> </w:t>
            </w:r>
            <w:r w:rsidR="00D44CEB">
              <w:rPr>
                <w:sz w:val="18"/>
                <w:szCs w:val="20"/>
              </w:rPr>
              <w:t xml:space="preserve">Moreover, regulators should take care to </w:t>
            </w:r>
            <w:r w:rsidR="00D44CEB" w:rsidRPr="00D76B7F">
              <w:rPr>
                <w:sz w:val="18"/>
                <w:szCs w:val="20"/>
              </w:rPr>
              <w:t>mak</w:t>
            </w:r>
            <w:r w:rsidR="00D44CEB">
              <w:rPr>
                <w:sz w:val="18"/>
                <w:szCs w:val="20"/>
              </w:rPr>
              <w:t>e</w:t>
            </w:r>
            <w:r w:rsidR="00D44CEB" w:rsidRPr="00D76B7F">
              <w:rPr>
                <w:sz w:val="18"/>
                <w:szCs w:val="20"/>
              </w:rPr>
              <w:t xml:space="preserve"> sure </w:t>
            </w:r>
            <w:r w:rsidR="002A535C">
              <w:rPr>
                <w:sz w:val="18"/>
                <w:szCs w:val="20"/>
              </w:rPr>
              <w:t>the</w:t>
            </w:r>
            <w:r w:rsidR="00D44CEB" w:rsidRPr="00D76B7F">
              <w:rPr>
                <w:sz w:val="18"/>
                <w:szCs w:val="20"/>
              </w:rPr>
              <w:t xml:space="preserve"> specific regulatory framework</w:t>
            </w:r>
            <w:r w:rsidR="00D545CB">
              <w:rPr>
                <w:sz w:val="18"/>
                <w:szCs w:val="20"/>
              </w:rPr>
              <w:t xml:space="preserve"> </w:t>
            </w:r>
            <w:r w:rsidR="00BA7F61">
              <w:rPr>
                <w:sz w:val="18"/>
                <w:szCs w:val="20"/>
              </w:rPr>
              <w:t>in which</w:t>
            </w:r>
            <w:r w:rsidR="00D44CEB" w:rsidRPr="00D76B7F">
              <w:rPr>
                <w:sz w:val="18"/>
                <w:szCs w:val="20"/>
              </w:rPr>
              <w:t xml:space="preserve"> </w:t>
            </w:r>
            <w:r w:rsidR="00BA7F61">
              <w:rPr>
                <w:sz w:val="18"/>
                <w:szCs w:val="20"/>
              </w:rPr>
              <w:t>a</w:t>
            </w:r>
            <w:r w:rsidR="002A535C">
              <w:rPr>
                <w:sz w:val="18"/>
                <w:szCs w:val="20"/>
              </w:rPr>
              <w:t xml:space="preserve"> utility operates </w:t>
            </w:r>
            <w:r w:rsidR="00D44CEB" w:rsidRPr="00D76B7F">
              <w:rPr>
                <w:sz w:val="18"/>
                <w:szCs w:val="20"/>
              </w:rPr>
              <w:t>and its corresponding risk</w:t>
            </w:r>
            <w:r w:rsidR="002A535C">
              <w:rPr>
                <w:sz w:val="18"/>
                <w:szCs w:val="20"/>
              </w:rPr>
              <w:t>s</w:t>
            </w:r>
            <w:r w:rsidR="00D44CEB" w:rsidRPr="00D76B7F">
              <w:rPr>
                <w:sz w:val="18"/>
                <w:szCs w:val="20"/>
              </w:rPr>
              <w:t xml:space="preserve"> </w:t>
            </w:r>
            <w:r w:rsidR="002A535C">
              <w:rPr>
                <w:sz w:val="18"/>
                <w:szCs w:val="20"/>
              </w:rPr>
              <w:t>are</w:t>
            </w:r>
            <w:r w:rsidR="00D44CEB" w:rsidRPr="00D76B7F">
              <w:rPr>
                <w:sz w:val="18"/>
                <w:szCs w:val="20"/>
              </w:rPr>
              <w:t xml:space="preserve"> considered</w:t>
            </w:r>
            <w:r w:rsidR="002A535C">
              <w:rPr>
                <w:sz w:val="18"/>
                <w:szCs w:val="20"/>
              </w:rPr>
              <w:t xml:space="preserve"> </w:t>
            </w:r>
            <w:r w:rsidR="00A665A0">
              <w:rPr>
                <w:sz w:val="18"/>
                <w:szCs w:val="20"/>
              </w:rPr>
              <w:t>when setting an appropriate ROE</w:t>
            </w:r>
            <w:r w:rsidR="003C0A26">
              <w:rPr>
                <w:sz w:val="18"/>
                <w:szCs w:val="20"/>
              </w:rPr>
              <w:t xml:space="preserve">, which </w:t>
            </w:r>
            <w:r w:rsidR="00E83E95">
              <w:rPr>
                <w:sz w:val="18"/>
                <w:szCs w:val="20"/>
              </w:rPr>
              <w:t>should be a primary driver of an ROE determination.</w:t>
            </w:r>
            <w:r w:rsidR="002A535C">
              <w:rPr>
                <w:sz w:val="18"/>
                <w:szCs w:val="20"/>
              </w:rPr>
              <w:t xml:space="preserve"> The </w:t>
            </w:r>
            <w:r w:rsidR="002A535C" w:rsidRPr="002D64FB">
              <w:rPr>
                <w:sz w:val="18"/>
                <w:szCs w:val="20"/>
              </w:rPr>
              <w:t xml:space="preserve">recent elimination of </w:t>
            </w:r>
            <w:r w:rsidR="00936D94">
              <w:rPr>
                <w:sz w:val="18"/>
                <w:szCs w:val="20"/>
              </w:rPr>
              <w:t xml:space="preserve">the </w:t>
            </w:r>
            <w:r w:rsidR="002A535C" w:rsidRPr="002D64FB">
              <w:rPr>
                <w:sz w:val="18"/>
                <w:szCs w:val="20"/>
              </w:rPr>
              <w:t xml:space="preserve">restrictions on setting ROE </w:t>
            </w:r>
            <w:r w:rsidR="00936D94">
              <w:rPr>
                <w:sz w:val="18"/>
                <w:szCs w:val="20"/>
              </w:rPr>
              <w:t xml:space="preserve">below peer averages </w:t>
            </w:r>
            <w:r w:rsidR="002A535C" w:rsidRPr="002D64FB">
              <w:rPr>
                <w:sz w:val="18"/>
                <w:szCs w:val="20"/>
              </w:rPr>
              <w:t xml:space="preserve">should help to remove limitations that may have worked against </w:t>
            </w:r>
            <w:r w:rsidR="002A535C" w:rsidRPr="002D64FB">
              <w:rPr>
                <w:b/>
                <w:bCs/>
                <w:sz w:val="18"/>
                <w:szCs w:val="20"/>
              </w:rPr>
              <w:t>affordability</w:t>
            </w:r>
            <w:r w:rsidR="009D6FB3">
              <w:rPr>
                <w:b/>
                <w:bCs/>
                <w:sz w:val="18"/>
                <w:szCs w:val="20"/>
              </w:rPr>
              <w:t xml:space="preserve"> </w:t>
            </w:r>
            <w:r w:rsidR="009D6FB3">
              <w:rPr>
                <w:sz w:val="18"/>
                <w:szCs w:val="20"/>
              </w:rPr>
              <w:t xml:space="preserve">and </w:t>
            </w:r>
            <w:r w:rsidR="009D6FB3" w:rsidRPr="009D6FB3">
              <w:rPr>
                <w:b/>
                <w:bCs/>
                <w:sz w:val="18"/>
                <w:szCs w:val="20"/>
              </w:rPr>
              <w:t>cost-efficiency</w:t>
            </w:r>
            <w:r w:rsidR="002A535C" w:rsidRPr="002D64FB">
              <w:rPr>
                <w:sz w:val="18"/>
                <w:szCs w:val="20"/>
              </w:rPr>
              <w:t xml:space="preserve"> goals.</w:t>
            </w:r>
            <w:r w:rsidR="002A535C">
              <w:rPr>
                <w:sz w:val="18"/>
                <w:szCs w:val="20"/>
              </w:rPr>
              <w:t xml:space="preserve"> </w:t>
            </w:r>
            <w:r w:rsidR="00702AD6" w:rsidRPr="002D64FB">
              <w:rPr>
                <w:sz w:val="18"/>
                <w:szCs w:val="20"/>
              </w:rPr>
              <w:t xml:space="preserve"> </w:t>
            </w:r>
            <w:r w:rsidR="001779A0" w:rsidRPr="002D64FB">
              <w:rPr>
                <w:sz w:val="18"/>
                <w:szCs w:val="20"/>
              </w:rPr>
              <w:t xml:space="preserve"> </w:t>
            </w:r>
          </w:p>
          <w:p w14:paraId="632FD9D9" w14:textId="77777777" w:rsidR="00401D23" w:rsidRDefault="00401D23" w:rsidP="00936B31">
            <w:pPr>
              <w:pStyle w:val="TableParagraph"/>
              <w:keepLines/>
              <w:widowControl/>
              <w:rPr>
                <w:sz w:val="18"/>
                <w:szCs w:val="20"/>
              </w:rPr>
            </w:pPr>
          </w:p>
          <w:p w14:paraId="5F90D441" w14:textId="1F10DD8E" w:rsidR="00542E90" w:rsidRDefault="00401D23" w:rsidP="00021141">
            <w:pPr>
              <w:pStyle w:val="TableParagraph"/>
              <w:keepLines/>
              <w:widowControl/>
              <w:rPr>
                <w:sz w:val="18"/>
                <w:szCs w:val="20"/>
              </w:rPr>
            </w:pPr>
            <w:r>
              <w:rPr>
                <w:sz w:val="18"/>
                <w:szCs w:val="20"/>
              </w:rPr>
              <w:t xml:space="preserve">Setting ROE should be informed by any PBR mechanisms that are ultimately implemented, given that </w:t>
            </w:r>
            <w:r w:rsidR="005D56FB">
              <w:rPr>
                <w:sz w:val="18"/>
                <w:szCs w:val="20"/>
              </w:rPr>
              <w:t>s</w:t>
            </w:r>
            <w:r w:rsidRPr="0071150B">
              <w:rPr>
                <w:sz w:val="18"/>
                <w:szCs w:val="20"/>
              </w:rPr>
              <w:t xml:space="preserve">everal of the principal factors that ordinarily contribute to the determination of an </w:t>
            </w:r>
            <w:r>
              <w:rPr>
                <w:sz w:val="18"/>
                <w:szCs w:val="20"/>
              </w:rPr>
              <w:t xml:space="preserve">utility’s </w:t>
            </w:r>
            <w:r w:rsidRPr="0071150B">
              <w:rPr>
                <w:sz w:val="18"/>
                <w:szCs w:val="20"/>
              </w:rPr>
              <w:t>ROE can be affected by a PBR framework.</w:t>
            </w:r>
            <w:r w:rsidR="00542E90">
              <w:rPr>
                <w:sz w:val="18"/>
                <w:szCs w:val="20"/>
              </w:rPr>
              <w:t xml:space="preserve"> </w:t>
            </w:r>
            <w:r w:rsidR="00542E90" w:rsidRPr="0071150B">
              <w:rPr>
                <w:sz w:val="18"/>
                <w:szCs w:val="20"/>
              </w:rPr>
              <w:t xml:space="preserve">PBR mechanisms that affect the magnitude, certainty, stability and/or risk associated with expected MRP revenue can directly and/or indirectly affect the conventional determination of allowed ROE. These include the ARM formula components, interim MRP revenue attrition mechanisms, supplementary capital recovery mechanisms, earnings sharing provisions, cost tracker provisions, PIMs (including provision of expected revenue, opportunities for supplemental revenue, and possible penalties), and any </w:t>
            </w:r>
            <w:r w:rsidR="00183B6E">
              <w:rPr>
                <w:sz w:val="18"/>
                <w:szCs w:val="20"/>
              </w:rPr>
              <w:t>off-ramp</w:t>
            </w:r>
            <w:r w:rsidR="00542E90" w:rsidRPr="0071150B">
              <w:rPr>
                <w:sz w:val="18"/>
                <w:szCs w:val="20"/>
              </w:rPr>
              <w:t xml:space="preserve"> provisions</w:t>
            </w:r>
            <w:r w:rsidR="00183B6E">
              <w:rPr>
                <w:sz w:val="18"/>
                <w:szCs w:val="20"/>
              </w:rPr>
              <w:t>.</w:t>
            </w:r>
          </w:p>
          <w:p w14:paraId="6230D463" w14:textId="77777777" w:rsidR="00542E90" w:rsidRDefault="00542E90" w:rsidP="00021141">
            <w:pPr>
              <w:pStyle w:val="TableParagraph"/>
              <w:keepLines/>
              <w:widowControl/>
              <w:rPr>
                <w:sz w:val="18"/>
                <w:szCs w:val="20"/>
              </w:rPr>
            </w:pPr>
          </w:p>
          <w:p w14:paraId="4F1501DD" w14:textId="3708C353" w:rsidR="00401D23" w:rsidRDefault="00401D23" w:rsidP="00021141">
            <w:pPr>
              <w:pStyle w:val="TableParagraph"/>
              <w:keepLines/>
              <w:widowControl/>
              <w:rPr>
                <w:sz w:val="18"/>
                <w:szCs w:val="20"/>
              </w:rPr>
            </w:pPr>
            <w:r w:rsidRPr="0071150B">
              <w:rPr>
                <w:sz w:val="18"/>
                <w:szCs w:val="20"/>
              </w:rPr>
              <w:t xml:space="preserve">For example, </w:t>
            </w:r>
            <w:r w:rsidR="002C0368">
              <w:rPr>
                <w:sz w:val="18"/>
                <w:szCs w:val="20"/>
              </w:rPr>
              <w:t>a</w:t>
            </w:r>
            <w:r w:rsidRPr="0071150B">
              <w:rPr>
                <w:sz w:val="18"/>
                <w:szCs w:val="20"/>
              </w:rPr>
              <w:t xml:space="preserve"> fixed ARM revenue formula, in conjunction with reconciliation of collected revenue</w:t>
            </w:r>
            <w:r>
              <w:rPr>
                <w:sz w:val="18"/>
                <w:szCs w:val="20"/>
              </w:rPr>
              <w:t xml:space="preserve"> through decoupling,</w:t>
            </w:r>
            <w:r w:rsidRPr="0071150B">
              <w:rPr>
                <w:sz w:val="18"/>
                <w:szCs w:val="20"/>
              </w:rPr>
              <w:t xml:space="preserve"> produces a known, stable, multi-year revenue stream which is insulated from several characteristic industry risks and uncertainties (e.g., economic cycles, commercial building occupancy, demographic trends, weather extremes). </w:t>
            </w:r>
            <w:r>
              <w:rPr>
                <w:sz w:val="18"/>
                <w:szCs w:val="20"/>
              </w:rPr>
              <w:t>A</w:t>
            </w:r>
            <w:r w:rsidRPr="0071150B">
              <w:rPr>
                <w:sz w:val="18"/>
                <w:szCs w:val="20"/>
              </w:rPr>
              <w:t xml:space="preserve"> PBR framework </w:t>
            </w:r>
            <w:r>
              <w:rPr>
                <w:sz w:val="18"/>
                <w:szCs w:val="20"/>
              </w:rPr>
              <w:t>can</w:t>
            </w:r>
            <w:r w:rsidRPr="0071150B">
              <w:rPr>
                <w:sz w:val="18"/>
                <w:szCs w:val="20"/>
              </w:rPr>
              <w:t xml:space="preserve"> include provisions for attrition of revenue throughout the MRP and may include specific provisions for supplemental recovery for certain capital expenditures. These elements directly affect (a) the magnitude and certainty of expected revenue streams considered in discounted cash flow analysis methods and scenarios, (b) the certainty and expected variance in expected revenue streams considered in capital asset pricing model analysis and scenarios, (c) assessment of financial risk premiums in comparisons to debt securities, and (d) the selection of proxy utilities for direct comparisons and baseline statistics.</w:t>
            </w:r>
          </w:p>
          <w:p w14:paraId="5F75CEA6" w14:textId="77777777" w:rsidR="009D6FB3" w:rsidRDefault="009D6FB3" w:rsidP="00021141">
            <w:pPr>
              <w:pStyle w:val="TableParagraph"/>
              <w:keepLines/>
              <w:widowControl/>
              <w:rPr>
                <w:sz w:val="18"/>
                <w:szCs w:val="20"/>
              </w:rPr>
            </w:pPr>
          </w:p>
          <w:p w14:paraId="37E50DCC" w14:textId="3186914D" w:rsidR="00401D23" w:rsidRPr="001968A5" w:rsidRDefault="00401D23" w:rsidP="00936B31">
            <w:pPr>
              <w:pStyle w:val="TableParagraph"/>
              <w:keepLines/>
              <w:widowControl/>
              <w:rPr>
                <w:sz w:val="18"/>
                <w:szCs w:val="20"/>
              </w:rPr>
            </w:pPr>
            <w:r w:rsidRPr="003A5DCA">
              <w:rPr>
                <w:sz w:val="18"/>
                <w:szCs w:val="20"/>
              </w:rPr>
              <w:t xml:space="preserve">Commissions in several jurisdictions have </w:t>
            </w:r>
            <w:proofErr w:type="gramStart"/>
            <w:r w:rsidRPr="003A5DCA">
              <w:rPr>
                <w:sz w:val="18"/>
                <w:szCs w:val="20"/>
              </w:rPr>
              <w:t>made adjustments to</w:t>
            </w:r>
            <w:proofErr w:type="gramEnd"/>
            <w:r w:rsidRPr="003A5DCA">
              <w:rPr>
                <w:sz w:val="18"/>
                <w:szCs w:val="20"/>
              </w:rPr>
              <w:t xml:space="preserve"> allowed ROE associated with PBR frameworks and/or specific mechanisms. </w:t>
            </w:r>
            <w:r>
              <w:rPr>
                <w:sz w:val="18"/>
                <w:szCs w:val="20"/>
              </w:rPr>
              <w:t>For example, t</w:t>
            </w:r>
            <w:r w:rsidRPr="006D1B2A">
              <w:rPr>
                <w:sz w:val="18"/>
                <w:szCs w:val="20"/>
              </w:rPr>
              <w:t xml:space="preserve">he </w:t>
            </w:r>
            <w:r w:rsidRPr="00021141">
              <w:rPr>
                <w:b/>
                <w:bCs/>
                <w:sz w:val="18"/>
                <w:szCs w:val="20"/>
              </w:rPr>
              <w:t>Hawaii</w:t>
            </w:r>
            <w:r w:rsidRPr="006D1B2A">
              <w:rPr>
                <w:sz w:val="18"/>
                <w:szCs w:val="20"/>
              </w:rPr>
              <w:t xml:space="preserve"> </w:t>
            </w:r>
            <w:r>
              <w:rPr>
                <w:sz w:val="18"/>
                <w:szCs w:val="20"/>
              </w:rPr>
              <w:t>PUC</w:t>
            </w:r>
            <w:r w:rsidRPr="006D1B2A">
              <w:rPr>
                <w:sz w:val="18"/>
                <w:szCs w:val="20"/>
              </w:rPr>
              <w:t xml:space="preserve"> adjusted allowed ROE for the HECO Companies downward by 0.25% specifically for the reduction in company risk associated with implementing its decoupling mechanism</w:t>
            </w:r>
            <w:r>
              <w:rPr>
                <w:sz w:val="18"/>
                <w:szCs w:val="20"/>
              </w:rPr>
              <w:t xml:space="preserve">. </w:t>
            </w:r>
            <w:r w:rsidRPr="005302F5">
              <w:rPr>
                <w:sz w:val="18"/>
                <w:szCs w:val="20"/>
              </w:rPr>
              <w:t xml:space="preserve">The </w:t>
            </w:r>
            <w:r w:rsidRPr="00021141">
              <w:rPr>
                <w:b/>
                <w:bCs/>
                <w:sz w:val="18"/>
                <w:szCs w:val="20"/>
              </w:rPr>
              <w:t>Minnesota</w:t>
            </w:r>
            <w:r w:rsidRPr="005302F5">
              <w:rPr>
                <w:sz w:val="18"/>
                <w:szCs w:val="20"/>
              </w:rPr>
              <w:t xml:space="preserve"> </w:t>
            </w:r>
            <w:r>
              <w:rPr>
                <w:sz w:val="18"/>
                <w:szCs w:val="20"/>
              </w:rPr>
              <w:t>PUC</w:t>
            </w:r>
            <w:r w:rsidRPr="005302F5">
              <w:rPr>
                <w:sz w:val="18"/>
                <w:szCs w:val="20"/>
              </w:rPr>
              <w:t xml:space="preserve"> established a 9.25% ROE for Xcel Energy in its last rate case, nearly 100 basis points lower than the company’s request for a 10.2% ROE, in part due to the company’s multi-year rate plan framework. </w:t>
            </w:r>
            <w:r>
              <w:rPr>
                <w:sz w:val="18"/>
                <w:szCs w:val="20"/>
              </w:rPr>
              <w:t xml:space="preserve">And the </w:t>
            </w:r>
            <w:r w:rsidRPr="00021141">
              <w:rPr>
                <w:b/>
                <w:bCs/>
                <w:sz w:val="18"/>
                <w:szCs w:val="20"/>
              </w:rPr>
              <w:t>Illinois</w:t>
            </w:r>
            <w:r>
              <w:rPr>
                <w:sz w:val="18"/>
                <w:szCs w:val="20"/>
              </w:rPr>
              <w:t xml:space="preserve"> Commerce Commission lowered ROE for both ComEd and Ameren because of the role of the MRP in reducing risk for the utilities. </w:t>
            </w:r>
          </w:p>
        </w:tc>
      </w:tr>
      <w:tr w:rsidR="00401D23" w:rsidRPr="009E495E" w14:paraId="6BCED2E3" w14:textId="77777777" w:rsidTr="65AE7816">
        <w:tc>
          <w:tcPr>
            <w:tcW w:w="1260" w:type="dxa"/>
            <w:vMerge w:val="restart"/>
            <w:vAlign w:val="center"/>
          </w:tcPr>
          <w:p w14:paraId="59A8BB57" w14:textId="17ACB13E" w:rsidR="00401D23" w:rsidRPr="009E495E" w:rsidRDefault="00401D23" w:rsidP="00936B31">
            <w:pPr>
              <w:pStyle w:val="TableParagraph"/>
              <w:keepLines/>
              <w:widowControl/>
              <w:spacing w:line="268" w:lineRule="auto"/>
              <w:ind w:left="60"/>
              <w:rPr>
                <w:b/>
                <w:bCs/>
                <w:spacing w:val="-2"/>
                <w:sz w:val="18"/>
                <w:szCs w:val="18"/>
              </w:rPr>
            </w:pPr>
            <w:r w:rsidRPr="009E495E">
              <w:rPr>
                <w:b/>
                <w:bCs/>
                <w:spacing w:val="-2"/>
                <w:sz w:val="18"/>
                <w:szCs w:val="18"/>
              </w:rPr>
              <w:t>Rate Adjustment Clauses (i.e., trackers)</w:t>
            </w:r>
          </w:p>
        </w:tc>
        <w:tc>
          <w:tcPr>
            <w:tcW w:w="1260" w:type="dxa"/>
          </w:tcPr>
          <w:p w14:paraId="3927CDCD" w14:textId="783AE2E5" w:rsidR="00401D23" w:rsidRPr="009E495E" w:rsidRDefault="00401D23" w:rsidP="00936B31">
            <w:pPr>
              <w:pStyle w:val="TableParagraph"/>
              <w:keepLines/>
              <w:widowControl/>
              <w:spacing w:line="207" w:lineRule="exact"/>
              <w:ind w:left="104"/>
              <w:rPr>
                <w:sz w:val="18"/>
                <w:szCs w:val="20"/>
              </w:rPr>
            </w:pPr>
            <w:r w:rsidRPr="009E495E">
              <w:rPr>
                <w:sz w:val="18"/>
                <w:szCs w:val="20"/>
              </w:rPr>
              <w:t>RACs overall (general assessment of the use of RACs)</w:t>
            </w:r>
          </w:p>
        </w:tc>
        <w:tc>
          <w:tcPr>
            <w:tcW w:w="1170" w:type="dxa"/>
            <w:vMerge w:val="restart"/>
          </w:tcPr>
          <w:p w14:paraId="3C8E40ED" w14:textId="77777777" w:rsidR="00401D23" w:rsidRDefault="00401D23" w:rsidP="005E261E">
            <w:pPr>
              <w:pStyle w:val="TableParagraph"/>
              <w:keepLines/>
              <w:widowControl/>
              <w:numPr>
                <w:ilvl w:val="0"/>
                <w:numId w:val="6"/>
              </w:numPr>
              <w:ind w:left="144" w:hanging="144"/>
              <w:rPr>
                <w:sz w:val="18"/>
                <w:szCs w:val="18"/>
              </w:rPr>
            </w:pPr>
            <w:r>
              <w:rPr>
                <w:sz w:val="18"/>
                <w:szCs w:val="18"/>
              </w:rPr>
              <w:t>Affordability</w:t>
            </w:r>
          </w:p>
          <w:p w14:paraId="62337944" w14:textId="77777777" w:rsidR="00401D23" w:rsidRDefault="00401D23" w:rsidP="005E261E">
            <w:pPr>
              <w:pStyle w:val="TableParagraph"/>
              <w:keepLines/>
              <w:widowControl/>
              <w:numPr>
                <w:ilvl w:val="0"/>
                <w:numId w:val="6"/>
              </w:numPr>
              <w:ind w:left="144" w:hanging="144"/>
              <w:rPr>
                <w:sz w:val="18"/>
                <w:szCs w:val="18"/>
              </w:rPr>
            </w:pPr>
            <w:r w:rsidRPr="00C03A9C">
              <w:rPr>
                <w:sz w:val="18"/>
                <w:szCs w:val="18"/>
              </w:rPr>
              <w:t>Cost-efficient utility investments and operations</w:t>
            </w:r>
          </w:p>
          <w:p w14:paraId="48BA66FC" w14:textId="07AA4617" w:rsidR="00401D23" w:rsidRPr="001968A5" w:rsidRDefault="00401D23" w:rsidP="005E261E">
            <w:pPr>
              <w:pStyle w:val="TableParagraph"/>
              <w:keepLines/>
              <w:widowControl/>
              <w:numPr>
                <w:ilvl w:val="0"/>
                <w:numId w:val="6"/>
              </w:numPr>
              <w:ind w:left="144" w:hanging="144"/>
              <w:rPr>
                <w:sz w:val="18"/>
                <w:szCs w:val="18"/>
              </w:rPr>
            </w:pPr>
            <w:r>
              <w:rPr>
                <w:sz w:val="18"/>
                <w:szCs w:val="18"/>
              </w:rPr>
              <w:t>Electricity decarbonization</w:t>
            </w:r>
          </w:p>
        </w:tc>
        <w:tc>
          <w:tcPr>
            <w:tcW w:w="3060" w:type="dxa"/>
            <w:vMerge w:val="restart"/>
          </w:tcPr>
          <w:p w14:paraId="580A3A82" w14:textId="5122732A" w:rsidR="00401D23" w:rsidRDefault="00401D23" w:rsidP="00936B31">
            <w:pPr>
              <w:pStyle w:val="TableParagraph"/>
              <w:keepLines/>
              <w:widowControl/>
              <w:rPr>
                <w:sz w:val="18"/>
                <w:szCs w:val="18"/>
              </w:rPr>
            </w:pPr>
            <w:r w:rsidRPr="001968A5">
              <w:rPr>
                <w:sz w:val="18"/>
                <w:szCs w:val="18"/>
              </w:rPr>
              <w:t xml:space="preserve">Virginia’s investor-owned utilities recover a significant portion of their expenses through Rate Adjustment Clauses (RAC). RACs allow utilities to recovery expenses through trackers, rather than through base rates. RACs provide guaranteed revenue, as opposed to recovery through base rates, which traditionally occurs after a project is placed into service. </w:t>
            </w:r>
          </w:p>
          <w:p w14:paraId="47975113" w14:textId="77777777" w:rsidR="00401D23" w:rsidRPr="001968A5" w:rsidRDefault="00401D23" w:rsidP="00936B31">
            <w:pPr>
              <w:pStyle w:val="TableParagraph"/>
              <w:keepLines/>
              <w:widowControl/>
              <w:rPr>
                <w:sz w:val="18"/>
                <w:szCs w:val="18"/>
              </w:rPr>
            </w:pPr>
          </w:p>
          <w:p w14:paraId="6C1B4D95" w14:textId="2CFF57C2" w:rsidR="00401D23" w:rsidRDefault="0003388C" w:rsidP="00936B31">
            <w:pPr>
              <w:pStyle w:val="TableParagraph"/>
              <w:keepLines/>
              <w:widowControl/>
              <w:rPr>
                <w:sz w:val="18"/>
                <w:szCs w:val="18"/>
              </w:rPr>
            </w:pPr>
            <w:r>
              <w:rPr>
                <w:sz w:val="18"/>
                <w:szCs w:val="18"/>
              </w:rPr>
              <w:t xml:space="preserve">Today, roughly 50% of utility costs are recovered through RACs. </w:t>
            </w:r>
            <w:r w:rsidR="00401D23" w:rsidRPr="001968A5">
              <w:rPr>
                <w:sz w:val="18"/>
                <w:szCs w:val="18"/>
              </w:rPr>
              <w:t xml:space="preserve">As of </w:t>
            </w:r>
            <w:hyperlink r:id="rId11" w:history="1">
              <w:r w:rsidR="00401D23" w:rsidRPr="001E40E9">
                <w:rPr>
                  <w:rStyle w:val="Hyperlink"/>
                  <w:sz w:val="18"/>
                  <w:szCs w:val="18"/>
                </w:rPr>
                <w:t>July 2024</w:t>
              </w:r>
            </w:hyperlink>
            <w:r w:rsidR="00401D23" w:rsidRPr="001968A5">
              <w:rPr>
                <w:sz w:val="18"/>
                <w:szCs w:val="18"/>
              </w:rPr>
              <w:t xml:space="preserve">, </w:t>
            </w:r>
            <w:r w:rsidR="00401D23">
              <w:rPr>
                <w:sz w:val="18"/>
                <w:szCs w:val="18"/>
              </w:rPr>
              <w:t>R</w:t>
            </w:r>
            <w:r w:rsidR="00401D23" w:rsidRPr="001968A5">
              <w:rPr>
                <w:sz w:val="18"/>
                <w:szCs w:val="18"/>
              </w:rPr>
              <w:t>ACs accounted for almost 30% of an average residential bill for a Dominion customer</w:t>
            </w:r>
            <w:r w:rsidR="00985B70">
              <w:rPr>
                <w:sz w:val="18"/>
                <w:szCs w:val="18"/>
              </w:rPr>
              <w:t xml:space="preserve">, and 28% for </w:t>
            </w:r>
            <w:proofErr w:type="spellStart"/>
            <w:r w:rsidR="00985B70">
              <w:rPr>
                <w:sz w:val="18"/>
                <w:szCs w:val="18"/>
              </w:rPr>
              <w:t>APCo</w:t>
            </w:r>
            <w:proofErr w:type="spellEnd"/>
            <w:r w:rsidR="00401D23" w:rsidRPr="001968A5">
              <w:rPr>
                <w:sz w:val="18"/>
                <w:szCs w:val="18"/>
              </w:rPr>
              <w:t xml:space="preserve">. Another 18% </w:t>
            </w:r>
            <w:r w:rsidR="00052801">
              <w:rPr>
                <w:sz w:val="18"/>
                <w:szCs w:val="18"/>
              </w:rPr>
              <w:t xml:space="preserve">and </w:t>
            </w:r>
            <w:r w:rsidR="00571191">
              <w:rPr>
                <w:sz w:val="18"/>
                <w:szCs w:val="18"/>
              </w:rPr>
              <w:t xml:space="preserve">24% </w:t>
            </w:r>
            <w:r w:rsidR="00401D23" w:rsidRPr="001968A5">
              <w:rPr>
                <w:sz w:val="18"/>
                <w:szCs w:val="18"/>
              </w:rPr>
              <w:t>accounted for fuel costs</w:t>
            </w:r>
            <w:r w:rsidR="00571191">
              <w:rPr>
                <w:sz w:val="18"/>
                <w:szCs w:val="18"/>
              </w:rPr>
              <w:t xml:space="preserve"> for Dominion and </w:t>
            </w:r>
            <w:proofErr w:type="spellStart"/>
            <w:r w:rsidR="00571191">
              <w:rPr>
                <w:sz w:val="18"/>
                <w:szCs w:val="18"/>
              </w:rPr>
              <w:t>APCo</w:t>
            </w:r>
            <w:proofErr w:type="spellEnd"/>
            <w:r w:rsidR="00571191">
              <w:rPr>
                <w:sz w:val="18"/>
                <w:szCs w:val="18"/>
              </w:rPr>
              <w:t xml:space="preserve"> residential bills, respectively</w:t>
            </w:r>
            <w:r w:rsidR="00401D23" w:rsidRPr="001968A5">
              <w:rPr>
                <w:sz w:val="18"/>
                <w:szCs w:val="18"/>
              </w:rPr>
              <w:t xml:space="preserve">. FACs represent the largest increase in proportion of customers’ bills in recent years between FACs, fuel costs, and base rates. </w:t>
            </w:r>
          </w:p>
          <w:p w14:paraId="024C45C2" w14:textId="77777777" w:rsidR="00401D23" w:rsidRPr="001968A5" w:rsidRDefault="00401D23" w:rsidP="00936B31">
            <w:pPr>
              <w:pStyle w:val="TableParagraph"/>
              <w:keepLines/>
              <w:widowControl/>
              <w:rPr>
                <w:sz w:val="18"/>
                <w:szCs w:val="18"/>
              </w:rPr>
            </w:pPr>
          </w:p>
          <w:p w14:paraId="24774D2A" w14:textId="0F64FAE2" w:rsidR="00401D23" w:rsidRPr="001968A5" w:rsidRDefault="00401D23" w:rsidP="00936B31">
            <w:pPr>
              <w:pStyle w:val="TableParagraph"/>
              <w:keepLines/>
              <w:widowControl/>
              <w:rPr>
                <w:sz w:val="18"/>
                <w:szCs w:val="18"/>
              </w:rPr>
            </w:pPr>
            <w:r w:rsidRPr="001968A5">
              <w:rPr>
                <w:sz w:val="18"/>
                <w:szCs w:val="18"/>
              </w:rPr>
              <w:t xml:space="preserve">Virginia does not currently </w:t>
            </w:r>
            <w:r w:rsidRPr="001968A5">
              <w:rPr>
                <w:b/>
                <w:bCs/>
                <w:sz w:val="18"/>
                <w:szCs w:val="18"/>
              </w:rPr>
              <w:t>have fuel-cost sharing</w:t>
            </w:r>
            <w:r w:rsidRPr="001968A5">
              <w:rPr>
                <w:sz w:val="18"/>
                <w:szCs w:val="18"/>
              </w:rPr>
              <w:t xml:space="preserve"> in place</w:t>
            </w:r>
            <w:r>
              <w:rPr>
                <w:sz w:val="18"/>
                <w:szCs w:val="18"/>
              </w:rPr>
              <w:t>.</w:t>
            </w:r>
            <w:r w:rsidRPr="001968A5">
              <w:rPr>
                <w:sz w:val="18"/>
                <w:szCs w:val="18"/>
              </w:rPr>
              <w:t xml:space="preserve"> </w:t>
            </w:r>
          </w:p>
        </w:tc>
        <w:tc>
          <w:tcPr>
            <w:tcW w:w="7830" w:type="dxa"/>
            <w:vMerge w:val="restart"/>
          </w:tcPr>
          <w:p w14:paraId="41B274A9" w14:textId="70529A22" w:rsidR="00C35FB1" w:rsidRPr="00C35FB1" w:rsidRDefault="00C35FB1" w:rsidP="008E718C">
            <w:pPr>
              <w:pStyle w:val="TableParagraph"/>
              <w:keepLines/>
              <w:widowControl/>
              <w:rPr>
                <w:sz w:val="18"/>
                <w:szCs w:val="18"/>
                <w:u w:val="single"/>
              </w:rPr>
            </w:pPr>
            <w:r w:rsidRPr="00C35FB1">
              <w:rPr>
                <w:sz w:val="18"/>
                <w:szCs w:val="18"/>
                <w:u w:val="single"/>
              </w:rPr>
              <w:t>Cost Trackers</w:t>
            </w:r>
          </w:p>
          <w:p w14:paraId="22E1C4F9" w14:textId="09B56F65" w:rsidR="00F76ABD" w:rsidRDefault="00401D23" w:rsidP="008E718C">
            <w:pPr>
              <w:pStyle w:val="TableParagraph"/>
              <w:keepLines/>
              <w:widowControl/>
              <w:rPr>
                <w:sz w:val="18"/>
                <w:szCs w:val="18"/>
              </w:rPr>
            </w:pPr>
            <w:r w:rsidRPr="001968A5">
              <w:rPr>
                <w:sz w:val="18"/>
                <w:szCs w:val="18"/>
              </w:rPr>
              <w:t>The large proportion of RACs</w:t>
            </w:r>
            <w:r w:rsidR="008C505E">
              <w:rPr>
                <w:sz w:val="18"/>
                <w:szCs w:val="18"/>
              </w:rPr>
              <w:t xml:space="preserve"> in Virg</w:t>
            </w:r>
            <w:r w:rsidR="00804DC8">
              <w:rPr>
                <w:sz w:val="18"/>
                <w:szCs w:val="18"/>
              </w:rPr>
              <w:t>i</w:t>
            </w:r>
            <w:r w:rsidR="008C505E">
              <w:rPr>
                <w:sz w:val="18"/>
                <w:szCs w:val="18"/>
              </w:rPr>
              <w:t>nia</w:t>
            </w:r>
            <w:r w:rsidRPr="001968A5">
              <w:rPr>
                <w:sz w:val="18"/>
                <w:szCs w:val="18"/>
              </w:rPr>
              <w:t xml:space="preserve"> creates several obstacles to improving </w:t>
            </w:r>
            <w:r w:rsidRPr="001968A5">
              <w:rPr>
                <w:b/>
                <w:bCs/>
                <w:sz w:val="18"/>
                <w:szCs w:val="18"/>
              </w:rPr>
              <w:t>affordability</w:t>
            </w:r>
            <w:r w:rsidRPr="001968A5">
              <w:rPr>
                <w:sz w:val="18"/>
                <w:szCs w:val="18"/>
              </w:rPr>
              <w:t xml:space="preserve"> outcomes. Cost trackers can erode a utility’s incentive to make </w:t>
            </w:r>
            <w:r w:rsidRPr="009B3EC0">
              <w:rPr>
                <w:b/>
                <w:sz w:val="18"/>
                <w:szCs w:val="18"/>
              </w:rPr>
              <w:t>cost-efficient spending decisions</w:t>
            </w:r>
            <w:r w:rsidRPr="001968A5">
              <w:rPr>
                <w:sz w:val="18"/>
                <w:szCs w:val="18"/>
              </w:rPr>
              <w:t>, and when applied to capital costs, they can exacerbate the perverse incentive to overinvest in capital assets.</w:t>
            </w:r>
            <w:r w:rsidR="003439EA">
              <w:rPr>
                <w:sz w:val="18"/>
                <w:szCs w:val="18"/>
              </w:rPr>
              <w:t xml:space="preserve"> While there may be some benefits to using cost trackers, when cost trackers are adopted in conjunction with MRPs, they should primarily be used for </w:t>
            </w:r>
            <w:r w:rsidR="003439EA" w:rsidRPr="001968A5">
              <w:rPr>
                <w:sz w:val="18"/>
                <w:szCs w:val="18"/>
              </w:rPr>
              <w:t>cost categories outside of utility control</w:t>
            </w:r>
            <w:r w:rsidR="003439EA">
              <w:rPr>
                <w:sz w:val="18"/>
                <w:szCs w:val="18"/>
              </w:rPr>
              <w:t xml:space="preserve"> (e.g. taxes, social benefit program costs) </w:t>
            </w:r>
            <w:proofErr w:type="gramStart"/>
            <w:r w:rsidR="003439EA">
              <w:rPr>
                <w:sz w:val="18"/>
                <w:szCs w:val="18"/>
              </w:rPr>
              <w:t>in order to</w:t>
            </w:r>
            <w:proofErr w:type="gramEnd"/>
            <w:r w:rsidR="003439EA">
              <w:rPr>
                <w:sz w:val="18"/>
                <w:szCs w:val="18"/>
              </w:rPr>
              <w:t xml:space="preserve"> preserve </w:t>
            </w:r>
            <w:r w:rsidR="00DE6F03">
              <w:rPr>
                <w:sz w:val="18"/>
                <w:szCs w:val="18"/>
              </w:rPr>
              <w:t xml:space="preserve">an MRP’s </w:t>
            </w:r>
            <w:r w:rsidR="003439EA">
              <w:rPr>
                <w:sz w:val="18"/>
                <w:szCs w:val="18"/>
              </w:rPr>
              <w:t>cost containment incentives</w:t>
            </w:r>
            <w:r w:rsidR="00DE6F03">
              <w:rPr>
                <w:sz w:val="18"/>
                <w:szCs w:val="18"/>
              </w:rPr>
              <w:t>.</w:t>
            </w:r>
          </w:p>
          <w:p w14:paraId="57DE7C69" w14:textId="5DD01E5D" w:rsidR="00401D23" w:rsidRPr="0050402C" w:rsidRDefault="00401D23" w:rsidP="008E718C">
            <w:pPr>
              <w:pStyle w:val="TableParagraph"/>
              <w:keepLines/>
              <w:widowControl/>
              <w:rPr>
                <w:sz w:val="18"/>
                <w:szCs w:val="18"/>
              </w:rPr>
            </w:pPr>
            <w:r w:rsidRPr="00946AF1">
              <w:rPr>
                <w:sz w:val="18"/>
                <w:szCs w:val="18"/>
              </w:rPr>
              <w:t xml:space="preserve">One reason for </w:t>
            </w:r>
            <w:r w:rsidR="00214420">
              <w:rPr>
                <w:sz w:val="18"/>
                <w:szCs w:val="18"/>
              </w:rPr>
              <w:t xml:space="preserve">cost </w:t>
            </w:r>
            <w:r w:rsidR="001F4E8C">
              <w:rPr>
                <w:sz w:val="18"/>
                <w:szCs w:val="18"/>
              </w:rPr>
              <w:t>t</w:t>
            </w:r>
            <w:r w:rsidR="00214420">
              <w:rPr>
                <w:sz w:val="18"/>
                <w:szCs w:val="18"/>
              </w:rPr>
              <w:t>rackers eroding u</w:t>
            </w:r>
            <w:r w:rsidR="00757355">
              <w:rPr>
                <w:sz w:val="18"/>
                <w:szCs w:val="18"/>
              </w:rPr>
              <w:t>tilities’ cost control incentives</w:t>
            </w:r>
            <w:r w:rsidRPr="00946AF1">
              <w:rPr>
                <w:sz w:val="18"/>
                <w:szCs w:val="18"/>
              </w:rPr>
              <w:t xml:space="preserve"> is that they reduce regulatory lag (i.e., the time between when a utility</w:t>
            </w:r>
            <w:r>
              <w:rPr>
                <w:sz w:val="18"/>
                <w:szCs w:val="18"/>
              </w:rPr>
              <w:t xml:space="preserve"> </w:t>
            </w:r>
            <w:r w:rsidRPr="00946AF1">
              <w:rPr>
                <w:sz w:val="18"/>
                <w:szCs w:val="18"/>
              </w:rPr>
              <w:t>incurs a cost and the time when it recovers that cost via rates) since they adjust rates regularly to recover</w:t>
            </w:r>
            <w:r>
              <w:rPr>
                <w:sz w:val="18"/>
                <w:szCs w:val="18"/>
              </w:rPr>
              <w:t xml:space="preserve"> </w:t>
            </w:r>
            <w:r w:rsidRPr="00946AF1">
              <w:rPr>
                <w:sz w:val="18"/>
                <w:szCs w:val="18"/>
              </w:rPr>
              <w:t>costs rather than just when rates are reset during a rate case. A second reason is that they tend to result in</w:t>
            </w:r>
            <w:r>
              <w:rPr>
                <w:sz w:val="18"/>
                <w:szCs w:val="18"/>
              </w:rPr>
              <w:t xml:space="preserve"> </w:t>
            </w:r>
            <w:r w:rsidRPr="00946AF1">
              <w:rPr>
                <w:sz w:val="18"/>
                <w:szCs w:val="18"/>
              </w:rPr>
              <w:t>less regulatory scrutiny. This is because the prudence reviews regulators conduct in periodic cost-tracker</w:t>
            </w:r>
            <w:r>
              <w:rPr>
                <w:sz w:val="18"/>
                <w:szCs w:val="18"/>
              </w:rPr>
              <w:t xml:space="preserve"> </w:t>
            </w:r>
            <w:r w:rsidRPr="00946AF1">
              <w:rPr>
                <w:sz w:val="18"/>
                <w:szCs w:val="18"/>
              </w:rPr>
              <w:t>proceedings tend to be less rigorous than those conducted in rate cases</w:t>
            </w:r>
            <w:r>
              <w:rPr>
                <w:sz w:val="18"/>
                <w:szCs w:val="18"/>
              </w:rPr>
              <w:t xml:space="preserve">. </w:t>
            </w:r>
            <w:r w:rsidRPr="008F0DA1">
              <w:rPr>
                <w:sz w:val="18"/>
                <w:szCs w:val="18"/>
              </w:rPr>
              <w:t>Finally, cost trackers are often</w:t>
            </w:r>
            <w:r w:rsidRPr="00512D6F">
              <w:rPr>
                <w:rFonts w:ascii="Helvetica" w:eastAsia="Times New Roman" w:hAnsi="Helvetica" w:cs="Times New Roman"/>
                <w:color w:val="464749"/>
                <w:sz w:val="15"/>
                <w:szCs w:val="15"/>
              </w:rPr>
              <w:t xml:space="preserve"> </w:t>
            </w:r>
            <w:r w:rsidRPr="00512D6F">
              <w:rPr>
                <w:sz w:val="18"/>
                <w:szCs w:val="18"/>
              </w:rPr>
              <w:t>designed in ways that virtually guarantee cost recovery, which reduces utilities’ incentive to limit costs.</w:t>
            </w:r>
            <w:r>
              <w:rPr>
                <w:sz w:val="18"/>
                <w:szCs w:val="18"/>
              </w:rPr>
              <w:t xml:space="preserve"> In order to maintain cost containment incentives, Virginia could follow several cost tracker principles:</w:t>
            </w:r>
          </w:p>
          <w:p w14:paraId="531BF485" w14:textId="77777777" w:rsidR="00401D23" w:rsidRDefault="00401D23" w:rsidP="008E718C">
            <w:pPr>
              <w:pStyle w:val="TableParagraph"/>
              <w:keepLines/>
              <w:widowControl/>
              <w:rPr>
                <w:sz w:val="18"/>
                <w:szCs w:val="18"/>
              </w:rPr>
            </w:pPr>
          </w:p>
          <w:p w14:paraId="72807F09" w14:textId="046F1842" w:rsidR="00401D23" w:rsidRPr="00C178C0" w:rsidRDefault="00401D23" w:rsidP="0001681B">
            <w:pPr>
              <w:pStyle w:val="TableParagraph"/>
              <w:keepLines/>
              <w:numPr>
                <w:ilvl w:val="0"/>
                <w:numId w:val="12"/>
              </w:numPr>
              <w:rPr>
                <w:sz w:val="18"/>
                <w:szCs w:val="18"/>
              </w:rPr>
            </w:pPr>
            <w:r w:rsidRPr="00C178C0">
              <w:rPr>
                <w:sz w:val="18"/>
                <w:szCs w:val="18"/>
              </w:rPr>
              <w:t>When a new cost tracker is proposed, carefully consider the incentives it is likely to create</w:t>
            </w:r>
            <w:r>
              <w:rPr>
                <w:sz w:val="18"/>
                <w:szCs w:val="18"/>
              </w:rPr>
              <w:t xml:space="preserve"> </w:t>
            </w:r>
            <w:r w:rsidRPr="00C178C0">
              <w:rPr>
                <w:sz w:val="18"/>
                <w:szCs w:val="18"/>
              </w:rPr>
              <w:t>(particularly if it is a capital cost tracker).</w:t>
            </w:r>
          </w:p>
          <w:p w14:paraId="46966B9D" w14:textId="40AABF01" w:rsidR="00401D23" w:rsidRPr="00C178C0" w:rsidRDefault="00401D23" w:rsidP="0001681B">
            <w:pPr>
              <w:pStyle w:val="TableParagraph"/>
              <w:keepLines/>
              <w:numPr>
                <w:ilvl w:val="0"/>
                <w:numId w:val="12"/>
              </w:numPr>
              <w:rPr>
                <w:sz w:val="18"/>
                <w:szCs w:val="18"/>
              </w:rPr>
            </w:pPr>
            <w:r w:rsidRPr="00C178C0">
              <w:rPr>
                <w:sz w:val="18"/>
                <w:szCs w:val="18"/>
              </w:rPr>
              <w:t>Consider ways to encourage cost-efficiency in areas where cost trackers may weaken</w:t>
            </w:r>
            <w:r>
              <w:rPr>
                <w:sz w:val="18"/>
                <w:szCs w:val="18"/>
              </w:rPr>
              <w:t xml:space="preserve"> </w:t>
            </w:r>
            <w:r w:rsidRPr="00C178C0">
              <w:rPr>
                <w:sz w:val="18"/>
                <w:szCs w:val="18"/>
              </w:rPr>
              <w:t xml:space="preserve">cost-containment incentives (e.g., through a comprehensive </w:t>
            </w:r>
            <w:r>
              <w:rPr>
                <w:sz w:val="18"/>
                <w:szCs w:val="18"/>
              </w:rPr>
              <w:t>shared savings mechanism</w:t>
            </w:r>
            <w:r w:rsidRPr="00C178C0">
              <w:rPr>
                <w:sz w:val="18"/>
                <w:szCs w:val="18"/>
              </w:rPr>
              <w:t xml:space="preserve"> or stricter transparency</w:t>
            </w:r>
            <w:r>
              <w:rPr>
                <w:sz w:val="18"/>
                <w:szCs w:val="18"/>
              </w:rPr>
              <w:t xml:space="preserve"> </w:t>
            </w:r>
            <w:r w:rsidRPr="00C178C0">
              <w:rPr>
                <w:sz w:val="18"/>
                <w:szCs w:val="18"/>
              </w:rPr>
              <w:t>requirements).</w:t>
            </w:r>
          </w:p>
          <w:p w14:paraId="2B458B7B" w14:textId="5301DDD3" w:rsidR="00401D23" w:rsidRPr="00C178C0" w:rsidRDefault="00401D23" w:rsidP="0001681B">
            <w:pPr>
              <w:pStyle w:val="TableParagraph"/>
              <w:keepLines/>
              <w:numPr>
                <w:ilvl w:val="0"/>
                <w:numId w:val="12"/>
              </w:numPr>
              <w:rPr>
                <w:sz w:val="18"/>
                <w:szCs w:val="18"/>
              </w:rPr>
            </w:pPr>
            <w:r w:rsidRPr="00C178C0">
              <w:rPr>
                <w:sz w:val="18"/>
                <w:szCs w:val="18"/>
              </w:rPr>
              <w:t>Consider what level of review or criteria should be used to ensure investments recovered via cost</w:t>
            </w:r>
            <w:r w:rsidR="0001681B">
              <w:rPr>
                <w:sz w:val="18"/>
                <w:szCs w:val="18"/>
              </w:rPr>
              <w:t xml:space="preserve"> </w:t>
            </w:r>
            <w:r w:rsidRPr="00C178C0">
              <w:rPr>
                <w:sz w:val="18"/>
                <w:szCs w:val="18"/>
              </w:rPr>
              <w:t>trackers are delivering expected benefits to customers.</w:t>
            </w:r>
          </w:p>
          <w:p w14:paraId="1D875276" w14:textId="5E8AA1DD" w:rsidR="00401D23" w:rsidRPr="00C178C0" w:rsidRDefault="00401D23" w:rsidP="0001681B">
            <w:pPr>
              <w:pStyle w:val="TableParagraph"/>
              <w:keepLines/>
              <w:numPr>
                <w:ilvl w:val="0"/>
                <w:numId w:val="12"/>
              </w:numPr>
              <w:rPr>
                <w:sz w:val="18"/>
                <w:szCs w:val="18"/>
              </w:rPr>
            </w:pPr>
            <w:r w:rsidRPr="00C178C0">
              <w:rPr>
                <w:sz w:val="18"/>
                <w:szCs w:val="18"/>
              </w:rPr>
              <w:t>Regularly reconsider existing cost trackers (e.g., as part of an annual review) and discontinue any</w:t>
            </w:r>
            <w:r w:rsidR="0001681B">
              <w:rPr>
                <w:sz w:val="18"/>
                <w:szCs w:val="18"/>
              </w:rPr>
              <w:t xml:space="preserve"> </w:t>
            </w:r>
            <w:r w:rsidRPr="00C178C0">
              <w:rPr>
                <w:sz w:val="18"/>
                <w:szCs w:val="18"/>
              </w:rPr>
              <w:t>that are determined to not be serving the public interest.</w:t>
            </w:r>
          </w:p>
          <w:p w14:paraId="3F479D4F" w14:textId="62F3C962" w:rsidR="00401D23" w:rsidRPr="001968A5" w:rsidRDefault="00401D23" w:rsidP="0001681B">
            <w:pPr>
              <w:pStyle w:val="TableParagraph"/>
              <w:keepLines/>
              <w:numPr>
                <w:ilvl w:val="0"/>
                <w:numId w:val="12"/>
              </w:numPr>
              <w:rPr>
                <w:sz w:val="18"/>
                <w:szCs w:val="18"/>
              </w:rPr>
            </w:pPr>
            <w:r w:rsidRPr="00C178C0">
              <w:rPr>
                <w:sz w:val="18"/>
                <w:szCs w:val="18"/>
              </w:rPr>
              <w:t>Assess the cumulative impact of all cost trackers on the utility’s overall business risk, and account</w:t>
            </w:r>
            <w:r w:rsidR="0001681B">
              <w:rPr>
                <w:sz w:val="18"/>
                <w:szCs w:val="18"/>
              </w:rPr>
              <w:t xml:space="preserve"> </w:t>
            </w:r>
            <w:r w:rsidRPr="00C178C0">
              <w:rPr>
                <w:sz w:val="18"/>
                <w:szCs w:val="18"/>
              </w:rPr>
              <w:t>for any risk reduction when setting the utility’s allowed ROE.</w:t>
            </w:r>
          </w:p>
          <w:p w14:paraId="2BBDB365" w14:textId="77777777" w:rsidR="00401D23" w:rsidRDefault="00401D23" w:rsidP="008E718C">
            <w:pPr>
              <w:pStyle w:val="TableParagraph"/>
              <w:keepLines/>
              <w:widowControl/>
              <w:rPr>
                <w:sz w:val="18"/>
                <w:szCs w:val="20"/>
              </w:rPr>
            </w:pPr>
          </w:p>
          <w:p w14:paraId="10B3E719" w14:textId="6D45676C" w:rsidR="00401D23" w:rsidRPr="001968A5" w:rsidRDefault="00DE6F03" w:rsidP="00960914">
            <w:pPr>
              <w:pStyle w:val="TableParagraph"/>
              <w:keepLines/>
              <w:widowControl/>
              <w:rPr>
                <w:sz w:val="18"/>
                <w:szCs w:val="18"/>
              </w:rPr>
            </w:pPr>
            <w:r>
              <w:rPr>
                <w:sz w:val="18"/>
                <w:szCs w:val="18"/>
              </w:rPr>
              <w:t>In Virginia, b</w:t>
            </w:r>
            <w:r w:rsidR="00401D23" w:rsidRPr="001968A5">
              <w:rPr>
                <w:sz w:val="18"/>
                <w:szCs w:val="18"/>
              </w:rPr>
              <w:t>ecause the SCC cannot consider base rate earnings when setting</w:t>
            </w:r>
            <w:r w:rsidR="00B20544">
              <w:rPr>
                <w:sz w:val="18"/>
                <w:szCs w:val="18"/>
              </w:rPr>
              <w:t xml:space="preserve"> RACs,</w:t>
            </w:r>
            <w:r w:rsidR="00401D23" w:rsidRPr="001968A5">
              <w:rPr>
                <w:sz w:val="18"/>
                <w:szCs w:val="18"/>
              </w:rPr>
              <w:t xml:space="preserve"> </w:t>
            </w:r>
            <w:r w:rsidR="00B20544">
              <w:rPr>
                <w:sz w:val="18"/>
                <w:szCs w:val="18"/>
              </w:rPr>
              <w:t>it is</w:t>
            </w:r>
            <w:r w:rsidR="00B20544" w:rsidRPr="00B20544">
              <w:rPr>
                <w:sz w:val="18"/>
                <w:szCs w:val="18"/>
              </w:rPr>
              <w:t xml:space="preserve"> not</w:t>
            </w:r>
            <w:r w:rsidR="009F22FE">
              <w:rPr>
                <w:sz w:val="18"/>
                <w:szCs w:val="18"/>
              </w:rPr>
              <w:t xml:space="preserve"> </w:t>
            </w:r>
            <w:r w:rsidR="00B20544" w:rsidRPr="00B20544">
              <w:rPr>
                <w:sz w:val="18"/>
                <w:szCs w:val="18"/>
              </w:rPr>
              <w:t>allowed</w:t>
            </w:r>
            <w:r w:rsidR="00B20544">
              <w:rPr>
                <w:sz w:val="18"/>
                <w:szCs w:val="18"/>
              </w:rPr>
              <w:t xml:space="preserve"> </w:t>
            </w:r>
            <w:r w:rsidR="00B20544" w:rsidRPr="00B20544">
              <w:rPr>
                <w:sz w:val="18"/>
                <w:szCs w:val="18"/>
              </w:rPr>
              <w:t>to reduce RAC charges if it finds that the utility’s base rates are too high.</w:t>
            </w:r>
            <w:r>
              <w:rPr>
                <w:sz w:val="18"/>
                <w:szCs w:val="18"/>
              </w:rPr>
              <w:t xml:space="preserve"> </w:t>
            </w:r>
            <w:r w:rsidR="00960914">
              <w:rPr>
                <w:sz w:val="18"/>
                <w:szCs w:val="18"/>
              </w:rPr>
              <w:t>Additiona</w:t>
            </w:r>
            <w:r w:rsidR="009F22FE">
              <w:rPr>
                <w:sz w:val="18"/>
                <w:szCs w:val="18"/>
              </w:rPr>
              <w:t>l</w:t>
            </w:r>
            <w:r w:rsidR="00960914">
              <w:rPr>
                <w:sz w:val="18"/>
                <w:szCs w:val="18"/>
              </w:rPr>
              <w:t>ly, t</w:t>
            </w:r>
            <w:r w:rsidR="00401D23" w:rsidRPr="001968A5">
              <w:rPr>
                <w:sz w:val="18"/>
                <w:szCs w:val="18"/>
              </w:rPr>
              <w:t>he large list of allowed RAC trackers</w:t>
            </w:r>
            <w:r w:rsidR="00503AF7">
              <w:rPr>
                <w:sz w:val="18"/>
                <w:szCs w:val="18"/>
              </w:rPr>
              <w:t xml:space="preserve"> in Virginia</w:t>
            </w:r>
            <w:r w:rsidR="00401D23" w:rsidRPr="001968A5">
              <w:rPr>
                <w:sz w:val="18"/>
                <w:szCs w:val="18"/>
              </w:rPr>
              <w:t xml:space="preserve"> may substantially lower the utilities’ financial risks; </w:t>
            </w:r>
            <w:r w:rsidR="00FA4EFD">
              <w:rPr>
                <w:sz w:val="18"/>
                <w:szCs w:val="18"/>
              </w:rPr>
              <w:t>as a result,</w:t>
            </w:r>
            <w:r w:rsidR="00401D23" w:rsidRPr="001968A5" w:rsidDel="00DE6F03">
              <w:rPr>
                <w:sz w:val="18"/>
                <w:szCs w:val="18"/>
              </w:rPr>
              <w:t xml:space="preserve"> </w:t>
            </w:r>
            <w:r w:rsidR="00401D23" w:rsidRPr="001968A5">
              <w:rPr>
                <w:sz w:val="18"/>
                <w:szCs w:val="18"/>
              </w:rPr>
              <w:t xml:space="preserve">utilities’ may be earning higher ROEs than their risk profiles justify. Overall, the prevalent use of RACs in </w:t>
            </w:r>
            <w:r w:rsidR="00401D23">
              <w:rPr>
                <w:sz w:val="18"/>
                <w:szCs w:val="18"/>
              </w:rPr>
              <w:t>Virginia</w:t>
            </w:r>
            <w:r w:rsidR="00401D23" w:rsidRPr="001968A5">
              <w:rPr>
                <w:sz w:val="18"/>
                <w:szCs w:val="18"/>
              </w:rPr>
              <w:t xml:space="preserve"> may undermine the implementation of PBR from a </w:t>
            </w:r>
            <w:r w:rsidR="00401D23" w:rsidRPr="0027478A">
              <w:rPr>
                <w:b/>
                <w:sz w:val="18"/>
                <w:szCs w:val="18"/>
              </w:rPr>
              <w:t xml:space="preserve">cost efficiency </w:t>
            </w:r>
            <w:r w:rsidR="00401D23" w:rsidRPr="001968A5">
              <w:rPr>
                <w:sz w:val="18"/>
                <w:szCs w:val="18"/>
              </w:rPr>
              <w:t xml:space="preserve">perspective. </w:t>
            </w:r>
          </w:p>
          <w:p w14:paraId="54FF13C5" w14:textId="77777777" w:rsidR="00401D23" w:rsidRDefault="00401D23" w:rsidP="008E718C">
            <w:pPr>
              <w:pStyle w:val="TableParagraph"/>
              <w:keepLines/>
              <w:widowControl/>
              <w:rPr>
                <w:sz w:val="18"/>
                <w:szCs w:val="20"/>
              </w:rPr>
            </w:pPr>
          </w:p>
          <w:p w14:paraId="0702EC3D" w14:textId="452E037E" w:rsidR="00C35FB1" w:rsidRPr="00C35FB1" w:rsidRDefault="00C35FB1" w:rsidP="008E718C">
            <w:pPr>
              <w:pStyle w:val="TableParagraph"/>
              <w:keepLines/>
              <w:widowControl/>
              <w:rPr>
                <w:sz w:val="18"/>
                <w:szCs w:val="20"/>
                <w:u w:val="single"/>
              </w:rPr>
            </w:pPr>
            <w:r w:rsidRPr="00C35FB1">
              <w:rPr>
                <w:sz w:val="18"/>
                <w:szCs w:val="20"/>
                <w:u w:val="single"/>
              </w:rPr>
              <w:t>Fuel Cost Sharing</w:t>
            </w:r>
          </w:p>
          <w:p w14:paraId="0FD7FB42" w14:textId="4020852A" w:rsidR="00401D23" w:rsidRPr="001968A5" w:rsidRDefault="00401D23" w:rsidP="008E718C">
            <w:pPr>
              <w:pStyle w:val="TableParagraph"/>
              <w:keepLines/>
              <w:widowControl/>
              <w:rPr>
                <w:sz w:val="18"/>
                <w:szCs w:val="20"/>
              </w:rPr>
            </w:pPr>
            <w:r w:rsidRPr="001968A5">
              <w:rPr>
                <w:sz w:val="18"/>
                <w:szCs w:val="18"/>
              </w:rPr>
              <w:t xml:space="preserve">Virginia does not currently </w:t>
            </w:r>
            <w:r w:rsidRPr="007657D3">
              <w:rPr>
                <w:sz w:val="18"/>
                <w:szCs w:val="18"/>
              </w:rPr>
              <w:t>have</w:t>
            </w:r>
            <w:r w:rsidRPr="001968A5">
              <w:rPr>
                <w:b/>
                <w:bCs/>
                <w:sz w:val="18"/>
                <w:szCs w:val="18"/>
              </w:rPr>
              <w:t xml:space="preserve"> fuel</w:t>
            </w:r>
            <w:r w:rsidR="003B4A65">
              <w:rPr>
                <w:b/>
                <w:bCs/>
                <w:sz w:val="18"/>
                <w:szCs w:val="18"/>
              </w:rPr>
              <w:t xml:space="preserve"> </w:t>
            </w:r>
            <w:r w:rsidRPr="001968A5">
              <w:rPr>
                <w:b/>
                <w:bCs/>
                <w:sz w:val="18"/>
                <w:szCs w:val="18"/>
              </w:rPr>
              <w:t>cost sharing</w:t>
            </w:r>
            <w:r w:rsidRPr="001968A5">
              <w:rPr>
                <w:sz w:val="18"/>
                <w:szCs w:val="18"/>
              </w:rPr>
              <w:t xml:space="preserve"> in place, which is a missed opportunity to deliver customer savings. Fuel cost sharing includes policy mechanisms that share the risk of fuel cost volatility between customers and the utility, creating an incentive for utilities to seek out </w:t>
            </w:r>
            <w:r w:rsidRPr="0027478A">
              <w:rPr>
                <w:b/>
                <w:sz w:val="18"/>
                <w:szCs w:val="18"/>
              </w:rPr>
              <w:t>cost efficiencies</w:t>
            </w:r>
            <w:r w:rsidRPr="001968A5">
              <w:rPr>
                <w:sz w:val="18"/>
                <w:szCs w:val="18"/>
              </w:rPr>
              <w:t xml:space="preserve">. A fuel cost sharing approach differs from the current approach used in Virginia, which allows utilities to pass 100% of fuel costs through to customers via an RAC. </w:t>
            </w:r>
            <w:r w:rsidRPr="001968A5">
              <w:rPr>
                <w:b/>
                <w:bCs/>
                <w:sz w:val="18"/>
                <w:szCs w:val="18"/>
              </w:rPr>
              <w:t>Missouri, Wyoming,</w:t>
            </w:r>
            <w:r w:rsidRPr="001968A5">
              <w:rPr>
                <w:sz w:val="18"/>
                <w:szCs w:val="18"/>
              </w:rPr>
              <w:t xml:space="preserve"> </w:t>
            </w:r>
            <w:r w:rsidRPr="001968A5">
              <w:rPr>
                <w:b/>
                <w:bCs/>
                <w:sz w:val="18"/>
                <w:szCs w:val="18"/>
              </w:rPr>
              <w:t>Washington</w:t>
            </w:r>
            <w:r w:rsidRPr="001968A5">
              <w:rPr>
                <w:sz w:val="18"/>
                <w:szCs w:val="18"/>
              </w:rPr>
              <w:t xml:space="preserve">, and </w:t>
            </w:r>
            <w:r w:rsidRPr="001968A5">
              <w:rPr>
                <w:b/>
                <w:bCs/>
                <w:sz w:val="18"/>
                <w:szCs w:val="18"/>
              </w:rPr>
              <w:t>Montana</w:t>
            </w:r>
            <w:r w:rsidRPr="001968A5">
              <w:rPr>
                <w:sz w:val="18"/>
                <w:szCs w:val="18"/>
              </w:rPr>
              <w:t xml:space="preserve"> are a few states where customers are currently benefiting from fuel cost sharing policies.</w:t>
            </w:r>
          </w:p>
        </w:tc>
      </w:tr>
      <w:tr w:rsidR="00401D23" w:rsidRPr="009E495E" w14:paraId="08118783" w14:textId="77777777" w:rsidTr="65AE7816">
        <w:trPr>
          <w:trHeight w:val="424"/>
        </w:trPr>
        <w:tc>
          <w:tcPr>
            <w:tcW w:w="1260" w:type="dxa"/>
            <w:vMerge/>
            <w:vAlign w:val="center"/>
          </w:tcPr>
          <w:p w14:paraId="6DD780F7" w14:textId="77777777" w:rsidR="00401D23" w:rsidRPr="009E495E" w:rsidRDefault="00401D23" w:rsidP="00936B31">
            <w:pPr>
              <w:pStyle w:val="TableParagraph"/>
              <w:keepLines/>
              <w:widowControl/>
              <w:spacing w:line="268" w:lineRule="auto"/>
              <w:ind w:left="60"/>
              <w:rPr>
                <w:b/>
                <w:spacing w:val="-2"/>
                <w:sz w:val="18"/>
                <w:szCs w:val="20"/>
              </w:rPr>
            </w:pPr>
          </w:p>
        </w:tc>
        <w:tc>
          <w:tcPr>
            <w:tcW w:w="1260" w:type="dxa"/>
          </w:tcPr>
          <w:p w14:paraId="7F7B84E7" w14:textId="21DC8B1E" w:rsidR="00401D23" w:rsidRPr="009E495E" w:rsidRDefault="00401D23" w:rsidP="00936B31">
            <w:pPr>
              <w:pStyle w:val="TableParagraph"/>
              <w:keepLines/>
              <w:widowControl/>
              <w:spacing w:line="207" w:lineRule="exact"/>
              <w:ind w:left="104"/>
              <w:rPr>
                <w:sz w:val="18"/>
                <w:szCs w:val="20"/>
              </w:rPr>
            </w:pPr>
            <w:r w:rsidRPr="009E495E">
              <w:rPr>
                <w:sz w:val="18"/>
                <w:szCs w:val="20"/>
              </w:rPr>
              <w:t>Fuel Cost Recovery</w:t>
            </w:r>
          </w:p>
        </w:tc>
        <w:tc>
          <w:tcPr>
            <w:tcW w:w="1170" w:type="dxa"/>
            <w:vMerge/>
          </w:tcPr>
          <w:p w14:paraId="7E11FE56" w14:textId="77777777" w:rsidR="00401D23" w:rsidRPr="001968A5" w:rsidRDefault="00401D23" w:rsidP="00936B31">
            <w:pPr>
              <w:pStyle w:val="TableParagraph"/>
              <w:keepLines/>
              <w:widowControl/>
              <w:rPr>
                <w:sz w:val="18"/>
                <w:szCs w:val="18"/>
              </w:rPr>
            </w:pPr>
          </w:p>
        </w:tc>
        <w:tc>
          <w:tcPr>
            <w:tcW w:w="3060" w:type="dxa"/>
            <w:vMerge/>
          </w:tcPr>
          <w:p w14:paraId="521AF72E" w14:textId="77777777" w:rsidR="00401D23" w:rsidRPr="001968A5" w:rsidRDefault="00401D23" w:rsidP="00936B31">
            <w:pPr>
              <w:pStyle w:val="TableParagraph"/>
              <w:keepLines/>
              <w:widowControl/>
              <w:rPr>
                <w:sz w:val="18"/>
                <w:szCs w:val="18"/>
              </w:rPr>
            </w:pPr>
          </w:p>
        </w:tc>
        <w:tc>
          <w:tcPr>
            <w:tcW w:w="7830" w:type="dxa"/>
            <w:vMerge/>
          </w:tcPr>
          <w:p w14:paraId="6F8979C6" w14:textId="6040A0DF" w:rsidR="00401D23" w:rsidRPr="001968A5" w:rsidRDefault="00401D23" w:rsidP="00936B31">
            <w:pPr>
              <w:pStyle w:val="TableParagraph"/>
              <w:keepLines/>
              <w:widowControl/>
              <w:numPr>
                <w:ilvl w:val="0"/>
                <w:numId w:val="4"/>
              </w:numPr>
              <w:rPr>
                <w:sz w:val="18"/>
                <w:szCs w:val="20"/>
              </w:rPr>
            </w:pPr>
          </w:p>
        </w:tc>
      </w:tr>
      <w:tr w:rsidR="00401D23" w:rsidRPr="009E495E" w14:paraId="2ABB39F3" w14:textId="77777777" w:rsidTr="65AE7816">
        <w:tc>
          <w:tcPr>
            <w:tcW w:w="1260" w:type="dxa"/>
            <w:vMerge/>
          </w:tcPr>
          <w:p w14:paraId="584D7B53" w14:textId="77777777" w:rsidR="00401D23" w:rsidRPr="009E495E" w:rsidRDefault="00401D23" w:rsidP="00936B31">
            <w:pPr>
              <w:pStyle w:val="TableParagraph"/>
              <w:keepLines/>
              <w:widowControl/>
              <w:spacing w:line="268" w:lineRule="auto"/>
              <w:ind w:left="60"/>
              <w:rPr>
                <w:b/>
                <w:spacing w:val="-2"/>
                <w:sz w:val="18"/>
                <w:szCs w:val="20"/>
              </w:rPr>
            </w:pPr>
          </w:p>
        </w:tc>
        <w:tc>
          <w:tcPr>
            <w:tcW w:w="1260" w:type="dxa"/>
          </w:tcPr>
          <w:p w14:paraId="2F8108CE" w14:textId="4D4A0B41" w:rsidR="00401D23" w:rsidRPr="009E495E" w:rsidRDefault="00401D23" w:rsidP="00936B31">
            <w:pPr>
              <w:pStyle w:val="TableParagraph"/>
              <w:keepLines/>
              <w:widowControl/>
              <w:spacing w:line="207" w:lineRule="exact"/>
              <w:ind w:left="104"/>
              <w:rPr>
                <w:sz w:val="18"/>
                <w:szCs w:val="20"/>
              </w:rPr>
            </w:pPr>
            <w:r w:rsidRPr="009E495E">
              <w:rPr>
                <w:sz w:val="18"/>
                <w:szCs w:val="20"/>
              </w:rPr>
              <w:t>Demand response program costs</w:t>
            </w:r>
          </w:p>
        </w:tc>
        <w:tc>
          <w:tcPr>
            <w:tcW w:w="1170" w:type="dxa"/>
            <w:vMerge/>
          </w:tcPr>
          <w:p w14:paraId="216FEACD" w14:textId="77777777" w:rsidR="00401D23" w:rsidRPr="001968A5" w:rsidRDefault="00401D23" w:rsidP="00936B31">
            <w:pPr>
              <w:pStyle w:val="TableParagraph"/>
              <w:keepLines/>
              <w:widowControl/>
              <w:rPr>
                <w:sz w:val="18"/>
                <w:szCs w:val="20"/>
              </w:rPr>
            </w:pPr>
          </w:p>
        </w:tc>
        <w:tc>
          <w:tcPr>
            <w:tcW w:w="3060" w:type="dxa"/>
            <w:vMerge/>
          </w:tcPr>
          <w:p w14:paraId="7B2EA571" w14:textId="77777777" w:rsidR="00401D23" w:rsidRPr="001968A5" w:rsidRDefault="00401D23" w:rsidP="00936B31">
            <w:pPr>
              <w:pStyle w:val="TableParagraph"/>
              <w:keepLines/>
              <w:widowControl/>
              <w:rPr>
                <w:sz w:val="18"/>
                <w:szCs w:val="20"/>
              </w:rPr>
            </w:pPr>
          </w:p>
        </w:tc>
        <w:tc>
          <w:tcPr>
            <w:tcW w:w="7830" w:type="dxa"/>
            <w:vMerge/>
          </w:tcPr>
          <w:p w14:paraId="478DEC9E" w14:textId="20104B34" w:rsidR="00401D23" w:rsidRPr="001968A5" w:rsidRDefault="00401D23" w:rsidP="00936B31">
            <w:pPr>
              <w:pStyle w:val="TableParagraph"/>
              <w:keepLines/>
              <w:widowControl/>
              <w:numPr>
                <w:ilvl w:val="0"/>
                <w:numId w:val="4"/>
              </w:numPr>
              <w:rPr>
                <w:sz w:val="18"/>
                <w:szCs w:val="20"/>
              </w:rPr>
            </w:pPr>
          </w:p>
        </w:tc>
      </w:tr>
      <w:tr w:rsidR="00401D23" w:rsidRPr="009E495E" w14:paraId="1A57C391" w14:textId="77777777" w:rsidTr="65AE7816">
        <w:tc>
          <w:tcPr>
            <w:tcW w:w="1260" w:type="dxa"/>
            <w:vMerge/>
          </w:tcPr>
          <w:p w14:paraId="6EAE6640" w14:textId="77777777" w:rsidR="00401D23" w:rsidRPr="009E495E" w:rsidRDefault="00401D23" w:rsidP="00936B31">
            <w:pPr>
              <w:pStyle w:val="TableParagraph"/>
              <w:keepLines/>
              <w:widowControl/>
              <w:spacing w:line="268" w:lineRule="auto"/>
              <w:ind w:left="60"/>
              <w:rPr>
                <w:b/>
                <w:spacing w:val="-2"/>
                <w:sz w:val="18"/>
                <w:szCs w:val="20"/>
              </w:rPr>
            </w:pPr>
          </w:p>
        </w:tc>
        <w:tc>
          <w:tcPr>
            <w:tcW w:w="1260" w:type="dxa"/>
          </w:tcPr>
          <w:p w14:paraId="33959977" w14:textId="75DE3790" w:rsidR="00401D23" w:rsidRPr="009E495E" w:rsidRDefault="00401D23" w:rsidP="00936B31">
            <w:pPr>
              <w:pStyle w:val="TableParagraph"/>
              <w:keepLines/>
              <w:widowControl/>
              <w:spacing w:line="207" w:lineRule="exact"/>
              <w:ind w:left="104"/>
              <w:rPr>
                <w:sz w:val="18"/>
                <w:szCs w:val="20"/>
              </w:rPr>
            </w:pPr>
            <w:r w:rsidRPr="009E495E">
              <w:rPr>
                <w:sz w:val="18"/>
                <w:szCs w:val="20"/>
              </w:rPr>
              <w:t>RPS compliance costs</w:t>
            </w:r>
          </w:p>
        </w:tc>
        <w:tc>
          <w:tcPr>
            <w:tcW w:w="1170" w:type="dxa"/>
            <w:vMerge/>
          </w:tcPr>
          <w:p w14:paraId="1B1815CF" w14:textId="77777777" w:rsidR="00401D23" w:rsidRPr="001968A5" w:rsidRDefault="00401D23" w:rsidP="00936B31">
            <w:pPr>
              <w:pStyle w:val="TableParagraph"/>
              <w:keepLines/>
              <w:widowControl/>
              <w:rPr>
                <w:sz w:val="18"/>
                <w:szCs w:val="20"/>
              </w:rPr>
            </w:pPr>
          </w:p>
        </w:tc>
        <w:tc>
          <w:tcPr>
            <w:tcW w:w="3060" w:type="dxa"/>
            <w:vMerge/>
          </w:tcPr>
          <w:p w14:paraId="1B06CA52" w14:textId="77777777" w:rsidR="00401D23" w:rsidRPr="001968A5" w:rsidRDefault="00401D23" w:rsidP="00936B31">
            <w:pPr>
              <w:pStyle w:val="TableParagraph"/>
              <w:keepLines/>
              <w:widowControl/>
              <w:rPr>
                <w:sz w:val="18"/>
                <w:szCs w:val="20"/>
              </w:rPr>
            </w:pPr>
          </w:p>
        </w:tc>
        <w:tc>
          <w:tcPr>
            <w:tcW w:w="7830" w:type="dxa"/>
            <w:vMerge/>
          </w:tcPr>
          <w:p w14:paraId="6E8C6050" w14:textId="272ABACC" w:rsidR="00401D23" w:rsidRPr="001968A5" w:rsidRDefault="00401D23" w:rsidP="00936B31">
            <w:pPr>
              <w:pStyle w:val="TableParagraph"/>
              <w:keepLines/>
              <w:widowControl/>
              <w:numPr>
                <w:ilvl w:val="0"/>
                <w:numId w:val="4"/>
              </w:numPr>
              <w:rPr>
                <w:sz w:val="18"/>
                <w:szCs w:val="18"/>
              </w:rPr>
            </w:pPr>
          </w:p>
        </w:tc>
      </w:tr>
      <w:tr w:rsidR="00401D23" w:rsidRPr="009E495E" w14:paraId="5DB56EE8" w14:textId="77777777" w:rsidTr="65AE7816">
        <w:tc>
          <w:tcPr>
            <w:tcW w:w="1260" w:type="dxa"/>
            <w:vMerge/>
          </w:tcPr>
          <w:p w14:paraId="33F657BC" w14:textId="77777777" w:rsidR="00401D23" w:rsidRPr="009E495E" w:rsidRDefault="00401D23" w:rsidP="00936B31">
            <w:pPr>
              <w:pStyle w:val="TableParagraph"/>
              <w:keepLines/>
              <w:widowControl/>
              <w:spacing w:line="268" w:lineRule="auto"/>
              <w:ind w:left="60"/>
              <w:rPr>
                <w:b/>
                <w:spacing w:val="-2"/>
                <w:sz w:val="18"/>
                <w:szCs w:val="20"/>
              </w:rPr>
            </w:pPr>
          </w:p>
        </w:tc>
        <w:tc>
          <w:tcPr>
            <w:tcW w:w="1260" w:type="dxa"/>
          </w:tcPr>
          <w:p w14:paraId="0C909AC5" w14:textId="044418AD" w:rsidR="00401D23" w:rsidRPr="009E495E" w:rsidRDefault="00401D23" w:rsidP="00936B31">
            <w:pPr>
              <w:pStyle w:val="TableParagraph"/>
              <w:keepLines/>
              <w:widowControl/>
              <w:spacing w:line="207" w:lineRule="exact"/>
              <w:ind w:left="104"/>
              <w:rPr>
                <w:sz w:val="18"/>
                <w:szCs w:val="20"/>
              </w:rPr>
            </w:pPr>
            <w:r w:rsidRPr="009E495E">
              <w:rPr>
                <w:sz w:val="18"/>
                <w:szCs w:val="20"/>
              </w:rPr>
              <w:t>Broadband capacity extension</w:t>
            </w:r>
          </w:p>
        </w:tc>
        <w:tc>
          <w:tcPr>
            <w:tcW w:w="1170" w:type="dxa"/>
            <w:vMerge/>
          </w:tcPr>
          <w:p w14:paraId="620E3446" w14:textId="77777777" w:rsidR="00401D23" w:rsidRPr="001968A5" w:rsidRDefault="00401D23" w:rsidP="00936B31">
            <w:pPr>
              <w:pStyle w:val="TableParagraph"/>
              <w:keepLines/>
              <w:widowControl/>
              <w:rPr>
                <w:sz w:val="18"/>
                <w:szCs w:val="20"/>
              </w:rPr>
            </w:pPr>
          </w:p>
        </w:tc>
        <w:tc>
          <w:tcPr>
            <w:tcW w:w="3060" w:type="dxa"/>
            <w:vMerge/>
          </w:tcPr>
          <w:p w14:paraId="4515BFA6" w14:textId="77777777" w:rsidR="00401D23" w:rsidRPr="001968A5" w:rsidRDefault="00401D23" w:rsidP="00936B31">
            <w:pPr>
              <w:pStyle w:val="TableParagraph"/>
              <w:keepLines/>
              <w:widowControl/>
              <w:rPr>
                <w:sz w:val="18"/>
                <w:szCs w:val="20"/>
              </w:rPr>
            </w:pPr>
          </w:p>
        </w:tc>
        <w:tc>
          <w:tcPr>
            <w:tcW w:w="7830" w:type="dxa"/>
            <w:vMerge/>
          </w:tcPr>
          <w:p w14:paraId="6E66180C" w14:textId="7D372D58" w:rsidR="00401D23" w:rsidRPr="001968A5" w:rsidRDefault="00401D23" w:rsidP="00936B31">
            <w:pPr>
              <w:pStyle w:val="TableParagraph"/>
              <w:keepLines/>
              <w:widowControl/>
              <w:numPr>
                <w:ilvl w:val="0"/>
                <w:numId w:val="4"/>
              </w:numPr>
              <w:rPr>
                <w:sz w:val="18"/>
                <w:szCs w:val="18"/>
              </w:rPr>
            </w:pPr>
          </w:p>
        </w:tc>
      </w:tr>
      <w:tr w:rsidR="00401D23" w:rsidRPr="009E495E" w14:paraId="2FAA517C" w14:textId="77777777" w:rsidTr="65AE7816">
        <w:tc>
          <w:tcPr>
            <w:tcW w:w="1260" w:type="dxa"/>
            <w:vMerge/>
          </w:tcPr>
          <w:p w14:paraId="0B71937D" w14:textId="77777777" w:rsidR="00401D23" w:rsidRPr="009E495E" w:rsidRDefault="00401D23" w:rsidP="00936B31">
            <w:pPr>
              <w:pStyle w:val="TableParagraph"/>
              <w:keepLines/>
              <w:widowControl/>
              <w:spacing w:line="268" w:lineRule="auto"/>
              <w:ind w:left="60"/>
              <w:rPr>
                <w:b/>
                <w:spacing w:val="-2"/>
                <w:sz w:val="18"/>
                <w:szCs w:val="20"/>
              </w:rPr>
            </w:pPr>
          </w:p>
        </w:tc>
        <w:tc>
          <w:tcPr>
            <w:tcW w:w="1260" w:type="dxa"/>
          </w:tcPr>
          <w:p w14:paraId="1F33C6C1" w14:textId="0653DDEC" w:rsidR="00401D23" w:rsidRPr="009E495E" w:rsidRDefault="00401D23" w:rsidP="00936B31">
            <w:pPr>
              <w:pStyle w:val="TableParagraph"/>
              <w:keepLines/>
              <w:widowControl/>
              <w:spacing w:line="207" w:lineRule="exact"/>
              <w:ind w:left="104"/>
              <w:rPr>
                <w:sz w:val="18"/>
                <w:szCs w:val="20"/>
              </w:rPr>
            </w:pPr>
            <w:r w:rsidRPr="009E495E">
              <w:rPr>
                <w:sz w:val="18"/>
                <w:szCs w:val="20"/>
              </w:rPr>
              <w:t>Low-income programs (lost revenue recovery)</w:t>
            </w:r>
          </w:p>
        </w:tc>
        <w:tc>
          <w:tcPr>
            <w:tcW w:w="1170" w:type="dxa"/>
            <w:vMerge/>
          </w:tcPr>
          <w:p w14:paraId="63206925" w14:textId="77777777" w:rsidR="00401D23" w:rsidRPr="001968A5" w:rsidRDefault="00401D23" w:rsidP="00936B31">
            <w:pPr>
              <w:pStyle w:val="TableParagraph"/>
              <w:keepLines/>
              <w:widowControl/>
              <w:rPr>
                <w:sz w:val="18"/>
                <w:szCs w:val="20"/>
              </w:rPr>
            </w:pPr>
          </w:p>
        </w:tc>
        <w:tc>
          <w:tcPr>
            <w:tcW w:w="3060" w:type="dxa"/>
            <w:vMerge/>
          </w:tcPr>
          <w:p w14:paraId="1A3D8531" w14:textId="77777777" w:rsidR="00401D23" w:rsidRPr="001968A5" w:rsidRDefault="00401D23" w:rsidP="00936B31">
            <w:pPr>
              <w:pStyle w:val="TableParagraph"/>
              <w:keepLines/>
              <w:widowControl/>
              <w:rPr>
                <w:sz w:val="18"/>
                <w:szCs w:val="20"/>
              </w:rPr>
            </w:pPr>
          </w:p>
        </w:tc>
        <w:tc>
          <w:tcPr>
            <w:tcW w:w="7830" w:type="dxa"/>
            <w:vMerge/>
          </w:tcPr>
          <w:p w14:paraId="452B7813" w14:textId="15E9248D" w:rsidR="00401D23" w:rsidRPr="001968A5" w:rsidRDefault="00401D23" w:rsidP="00936B31">
            <w:pPr>
              <w:pStyle w:val="TableParagraph"/>
              <w:keepLines/>
              <w:widowControl/>
              <w:numPr>
                <w:ilvl w:val="0"/>
                <w:numId w:val="4"/>
              </w:numPr>
              <w:rPr>
                <w:sz w:val="18"/>
                <w:szCs w:val="18"/>
              </w:rPr>
            </w:pPr>
          </w:p>
        </w:tc>
      </w:tr>
      <w:tr w:rsidR="00401D23" w:rsidRPr="009E495E" w14:paraId="451C2BE1" w14:textId="77777777" w:rsidTr="65AE7816">
        <w:tc>
          <w:tcPr>
            <w:tcW w:w="1260" w:type="dxa"/>
            <w:vMerge/>
          </w:tcPr>
          <w:p w14:paraId="478901A4" w14:textId="77777777" w:rsidR="00401D23" w:rsidRPr="009E495E" w:rsidRDefault="00401D23" w:rsidP="00936B31">
            <w:pPr>
              <w:pStyle w:val="TableParagraph"/>
              <w:keepLines/>
              <w:widowControl/>
              <w:spacing w:line="268" w:lineRule="auto"/>
              <w:ind w:left="60"/>
              <w:rPr>
                <w:b/>
                <w:spacing w:val="-2"/>
                <w:sz w:val="18"/>
                <w:szCs w:val="20"/>
              </w:rPr>
            </w:pPr>
          </w:p>
        </w:tc>
        <w:tc>
          <w:tcPr>
            <w:tcW w:w="1260" w:type="dxa"/>
          </w:tcPr>
          <w:p w14:paraId="6E10D5F4" w14:textId="32EB9544" w:rsidR="00401D23" w:rsidRPr="009E495E" w:rsidRDefault="00401D23" w:rsidP="00936B31">
            <w:pPr>
              <w:pStyle w:val="TableParagraph"/>
              <w:keepLines/>
              <w:widowControl/>
              <w:spacing w:line="207" w:lineRule="exact"/>
              <w:ind w:left="104"/>
              <w:rPr>
                <w:sz w:val="18"/>
                <w:szCs w:val="18"/>
              </w:rPr>
            </w:pPr>
            <w:r w:rsidRPr="009E495E">
              <w:rPr>
                <w:sz w:val="18"/>
                <w:szCs w:val="18"/>
              </w:rPr>
              <w:t>Capital projects (e.g. combined cycle gas projects, offshore wind, solar, distribution system undergrounding, distribution grid transformation, nuclear life extension, etc.)</w:t>
            </w:r>
          </w:p>
        </w:tc>
        <w:tc>
          <w:tcPr>
            <w:tcW w:w="1170" w:type="dxa"/>
            <w:vMerge/>
          </w:tcPr>
          <w:p w14:paraId="69E899FE" w14:textId="77777777" w:rsidR="00401D23" w:rsidRPr="001968A5" w:rsidRDefault="00401D23" w:rsidP="00936B31">
            <w:pPr>
              <w:pStyle w:val="TableParagraph"/>
              <w:keepLines/>
              <w:widowControl/>
              <w:rPr>
                <w:sz w:val="18"/>
                <w:szCs w:val="20"/>
              </w:rPr>
            </w:pPr>
          </w:p>
        </w:tc>
        <w:tc>
          <w:tcPr>
            <w:tcW w:w="3060" w:type="dxa"/>
            <w:vMerge/>
          </w:tcPr>
          <w:p w14:paraId="19A52D0D" w14:textId="77777777" w:rsidR="00401D23" w:rsidRPr="001968A5" w:rsidRDefault="00401D23" w:rsidP="00936B31">
            <w:pPr>
              <w:pStyle w:val="TableParagraph"/>
              <w:keepLines/>
              <w:widowControl/>
              <w:rPr>
                <w:sz w:val="18"/>
                <w:szCs w:val="20"/>
              </w:rPr>
            </w:pPr>
          </w:p>
        </w:tc>
        <w:tc>
          <w:tcPr>
            <w:tcW w:w="7830" w:type="dxa"/>
            <w:vMerge/>
          </w:tcPr>
          <w:p w14:paraId="70BE06EA" w14:textId="393145FF" w:rsidR="00401D23" w:rsidRPr="001968A5" w:rsidRDefault="00401D23" w:rsidP="00936B31">
            <w:pPr>
              <w:pStyle w:val="TableParagraph"/>
              <w:keepLines/>
              <w:widowControl/>
              <w:numPr>
                <w:ilvl w:val="0"/>
                <w:numId w:val="4"/>
              </w:numPr>
              <w:rPr>
                <w:sz w:val="18"/>
                <w:szCs w:val="20"/>
              </w:rPr>
            </w:pPr>
          </w:p>
        </w:tc>
      </w:tr>
      <w:tr w:rsidR="00401D23" w:rsidRPr="009E495E" w14:paraId="7DD1FE9E" w14:textId="77777777" w:rsidTr="65AE7816">
        <w:tc>
          <w:tcPr>
            <w:tcW w:w="1260" w:type="dxa"/>
            <w:vMerge w:val="restart"/>
            <w:vAlign w:val="center"/>
          </w:tcPr>
          <w:p w14:paraId="590187A1" w14:textId="48CE5B90" w:rsidR="00401D23" w:rsidRPr="009E495E" w:rsidRDefault="00401D23" w:rsidP="00936B31">
            <w:pPr>
              <w:pStyle w:val="TableParagraph"/>
              <w:keepLines/>
              <w:widowControl/>
              <w:spacing w:line="268" w:lineRule="auto"/>
              <w:ind w:left="60"/>
              <w:rPr>
                <w:b/>
                <w:spacing w:val="-2"/>
                <w:sz w:val="18"/>
                <w:szCs w:val="20"/>
              </w:rPr>
            </w:pPr>
            <w:r w:rsidRPr="009E495E">
              <w:rPr>
                <w:b/>
                <w:spacing w:val="-2"/>
                <w:sz w:val="18"/>
                <w:szCs w:val="20"/>
              </w:rPr>
              <w:t>Performance adjustments and measurement</w:t>
            </w:r>
          </w:p>
        </w:tc>
        <w:tc>
          <w:tcPr>
            <w:tcW w:w="1260" w:type="dxa"/>
          </w:tcPr>
          <w:p w14:paraId="2ABD08DA" w14:textId="5A5DFA13" w:rsidR="00401D23" w:rsidRPr="009E495E" w:rsidRDefault="00401D23" w:rsidP="00936B31">
            <w:pPr>
              <w:pStyle w:val="TableParagraph"/>
              <w:keepLines/>
              <w:widowControl/>
              <w:spacing w:line="207" w:lineRule="exact"/>
              <w:ind w:left="104"/>
              <w:rPr>
                <w:sz w:val="18"/>
                <w:szCs w:val="20"/>
              </w:rPr>
            </w:pPr>
            <w:r w:rsidRPr="009E495E">
              <w:rPr>
                <w:sz w:val="18"/>
                <w:szCs w:val="20"/>
              </w:rPr>
              <w:t>ROE adjustment mechanisms</w:t>
            </w:r>
          </w:p>
        </w:tc>
        <w:tc>
          <w:tcPr>
            <w:tcW w:w="1170" w:type="dxa"/>
          </w:tcPr>
          <w:p w14:paraId="6B07C9D8" w14:textId="77777777" w:rsidR="00401D23" w:rsidRPr="00094471" w:rsidRDefault="00401D23" w:rsidP="005E261E">
            <w:pPr>
              <w:pStyle w:val="TableParagraph"/>
              <w:keepLines/>
              <w:widowControl/>
              <w:numPr>
                <w:ilvl w:val="0"/>
                <w:numId w:val="6"/>
              </w:numPr>
              <w:ind w:left="144" w:hanging="144"/>
              <w:rPr>
                <w:sz w:val="18"/>
                <w:szCs w:val="18"/>
              </w:rPr>
            </w:pPr>
            <w:r w:rsidRPr="00094471">
              <w:rPr>
                <w:sz w:val="18"/>
                <w:szCs w:val="18"/>
              </w:rPr>
              <w:t>Affordability</w:t>
            </w:r>
          </w:p>
          <w:p w14:paraId="2A2A8CD1" w14:textId="77777777" w:rsidR="00401D23" w:rsidRPr="00094471" w:rsidRDefault="00401D23" w:rsidP="005E261E">
            <w:pPr>
              <w:pStyle w:val="TableParagraph"/>
              <w:keepLines/>
              <w:widowControl/>
              <w:numPr>
                <w:ilvl w:val="0"/>
                <w:numId w:val="6"/>
              </w:numPr>
              <w:ind w:left="144" w:hanging="144"/>
              <w:rPr>
                <w:sz w:val="18"/>
                <w:szCs w:val="18"/>
              </w:rPr>
            </w:pPr>
            <w:r w:rsidRPr="00094471">
              <w:rPr>
                <w:sz w:val="18"/>
                <w:szCs w:val="18"/>
              </w:rPr>
              <w:t>Cost-efficient utility investments and operations</w:t>
            </w:r>
          </w:p>
          <w:p w14:paraId="3D68FDE0" w14:textId="77777777" w:rsidR="00401D23" w:rsidRPr="00094471" w:rsidRDefault="00401D23" w:rsidP="005E261E">
            <w:pPr>
              <w:pStyle w:val="TableParagraph"/>
              <w:keepLines/>
              <w:widowControl/>
              <w:numPr>
                <w:ilvl w:val="0"/>
                <w:numId w:val="6"/>
              </w:numPr>
              <w:ind w:left="144" w:hanging="144"/>
              <w:rPr>
                <w:sz w:val="18"/>
                <w:szCs w:val="18"/>
              </w:rPr>
            </w:pPr>
            <w:r w:rsidRPr="00094471">
              <w:rPr>
                <w:sz w:val="18"/>
                <w:szCs w:val="18"/>
              </w:rPr>
              <w:t>Reliability and resiliency</w:t>
            </w:r>
          </w:p>
          <w:p w14:paraId="7FE04CF1" w14:textId="77777777" w:rsidR="00401D23" w:rsidRPr="00094471" w:rsidRDefault="00401D23" w:rsidP="005E261E">
            <w:pPr>
              <w:pStyle w:val="TableParagraph"/>
              <w:keepLines/>
              <w:widowControl/>
              <w:numPr>
                <w:ilvl w:val="0"/>
                <w:numId w:val="6"/>
              </w:numPr>
              <w:ind w:left="144" w:hanging="144"/>
              <w:rPr>
                <w:sz w:val="18"/>
                <w:szCs w:val="18"/>
              </w:rPr>
            </w:pPr>
            <w:r w:rsidRPr="00094471">
              <w:rPr>
                <w:sz w:val="18"/>
                <w:szCs w:val="18"/>
              </w:rPr>
              <w:t>Electricity decarbonization</w:t>
            </w:r>
          </w:p>
          <w:p w14:paraId="5AF4C032" w14:textId="77777777" w:rsidR="00401D23" w:rsidRPr="00094471" w:rsidRDefault="00401D23" w:rsidP="005E261E">
            <w:pPr>
              <w:pStyle w:val="TableParagraph"/>
              <w:keepLines/>
              <w:widowControl/>
              <w:numPr>
                <w:ilvl w:val="0"/>
                <w:numId w:val="6"/>
              </w:numPr>
              <w:ind w:left="144" w:hanging="144"/>
              <w:rPr>
                <w:sz w:val="18"/>
                <w:szCs w:val="18"/>
              </w:rPr>
            </w:pPr>
            <w:r w:rsidRPr="00094471">
              <w:rPr>
                <w:sz w:val="18"/>
                <w:szCs w:val="18"/>
              </w:rPr>
              <w:t>DER integration</w:t>
            </w:r>
          </w:p>
          <w:p w14:paraId="7A7E27BC" w14:textId="77777777" w:rsidR="00401D23" w:rsidRPr="00094471" w:rsidRDefault="00401D23" w:rsidP="005E261E">
            <w:pPr>
              <w:pStyle w:val="TableParagraph"/>
              <w:keepLines/>
              <w:widowControl/>
              <w:numPr>
                <w:ilvl w:val="0"/>
                <w:numId w:val="6"/>
              </w:numPr>
              <w:ind w:left="144" w:hanging="144"/>
              <w:rPr>
                <w:sz w:val="18"/>
                <w:szCs w:val="18"/>
              </w:rPr>
            </w:pPr>
            <w:r w:rsidRPr="00094471">
              <w:rPr>
                <w:sz w:val="18"/>
                <w:szCs w:val="18"/>
              </w:rPr>
              <w:t>Peak demand reductions</w:t>
            </w:r>
          </w:p>
          <w:p w14:paraId="5688B069" w14:textId="788EDDC8" w:rsidR="00401D23" w:rsidRPr="00094471" w:rsidDel="00F93847" w:rsidRDefault="00401D23" w:rsidP="001B5583">
            <w:pPr>
              <w:pStyle w:val="TableParagraph"/>
              <w:keepLines/>
              <w:widowControl/>
              <w:ind w:left="360"/>
              <w:rPr>
                <w:rStyle w:val="CommentReference"/>
                <w:sz w:val="18"/>
                <w:szCs w:val="18"/>
              </w:rPr>
            </w:pPr>
          </w:p>
        </w:tc>
        <w:tc>
          <w:tcPr>
            <w:tcW w:w="3060" w:type="dxa"/>
          </w:tcPr>
          <w:p w14:paraId="736B185C" w14:textId="22BF7E38" w:rsidR="008C5E61" w:rsidRDefault="50C76A0A" w:rsidP="00035708">
            <w:pPr>
              <w:pStyle w:val="TableParagraph"/>
              <w:keepLines/>
              <w:widowControl/>
              <w:rPr>
                <w:sz w:val="18"/>
                <w:szCs w:val="20"/>
              </w:rPr>
            </w:pPr>
            <w:r w:rsidRPr="789C5B7F">
              <w:rPr>
                <w:sz w:val="18"/>
                <w:szCs w:val="18"/>
              </w:rPr>
              <w:t xml:space="preserve">The SCC currently has the authority to adjust base ROE by up to ±50 bps based on performance related to reliability, generating plant performance, customer service, and operating efficiency of a utility. </w:t>
            </w:r>
          </w:p>
          <w:p w14:paraId="45317110" w14:textId="386606DA" w:rsidR="000C2A40" w:rsidRPr="00094471" w:rsidRDefault="004A44DF" w:rsidP="000C2A40">
            <w:pPr>
              <w:pStyle w:val="TableParagraph"/>
              <w:keepLines/>
              <w:widowControl/>
              <w:rPr>
                <w:sz w:val="18"/>
                <w:szCs w:val="18"/>
              </w:rPr>
            </w:pPr>
            <w:r w:rsidRPr="00094471">
              <w:rPr>
                <w:sz w:val="18"/>
                <w:szCs w:val="18"/>
              </w:rPr>
              <w:t xml:space="preserve"> </w:t>
            </w:r>
          </w:p>
          <w:p w14:paraId="2F4F59EA" w14:textId="14CB5AF7" w:rsidR="00401D23" w:rsidRPr="00094471" w:rsidRDefault="00401D23" w:rsidP="00936B31">
            <w:pPr>
              <w:pStyle w:val="TableParagraph"/>
              <w:keepLines/>
              <w:widowControl/>
              <w:rPr>
                <w:sz w:val="18"/>
                <w:szCs w:val="20"/>
              </w:rPr>
            </w:pPr>
          </w:p>
          <w:p w14:paraId="4DC630B0" w14:textId="46BBA2F2" w:rsidR="00401D23" w:rsidRPr="00094471" w:rsidRDefault="00401D23" w:rsidP="00936B31">
            <w:pPr>
              <w:pStyle w:val="TableParagraph"/>
              <w:keepLines/>
              <w:widowControl/>
              <w:rPr>
                <w:sz w:val="18"/>
                <w:szCs w:val="18"/>
              </w:rPr>
            </w:pPr>
          </w:p>
        </w:tc>
        <w:tc>
          <w:tcPr>
            <w:tcW w:w="7830" w:type="dxa"/>
          </w:tcPr>
          <w:p w14:paraId="5F7EBA50" w14:textId="0E8C796C" w:rsidR="00626A62" w:rsidRDefault="00E43AC5" w:rsidP="00D35E74">
            <w:pPr>
              <w:pStyle w:val="TableParagraph"/>
              <w:keepLines/>
              <w:widowControl/>
              <w:rPr>
                <w:sz w:val="18"/>
                <w:szCs w:val="18"/>
              </w:rPr>
            </w:pPr>
            <w:r>
              <w:rPr>
                <w:sz w:val="18"/>
                <w:szCs w:val="18"/>
              </w:rPr>
              <w:t>Virginia</w:t>
            </w:r>
            <w:r w:rsidR="108D86EF" w:rsidRPr="7CC731B0">
              <w:rPr>
                <w:sz w:val="18"/>
                <w:szCs w:val="18"/>
              </w:rPr>
              <w:t xml:space="preserve"> may be missing an opportunity to deliver significant customer savings and </w:t>
            </w:r>
            <w:r w:rsidR="108D86EF" w:rsidRPr="7CC731B0">
              <w:rPr>
                <w:b/>
                <w:bCs/>
                <w:sz w:val="18"/>
                <w:szCs w:val="18"/>
              </w:rPr>
              <w:t>affordability</w:t>
            </w:r>
            <w:r w:rsidR="108D86EF" w:rsidRPr="7CC731B0">
              <w:rPr>
                <w:sz w:val="18"/>
                <w:szCs w:val="18"/>
              </w:rPr>
              <w:t xml:space="preserve"> gains b</w:t>
            </w:r>
            <w:r w:rsidR="54452B94" w:rsidRPr="7CC731B0">
              <w:rPr>
                <w:sz w:val="18"/>
                <w:szCs w:val="18"/>
              </w:rPr>
              <w:t xml:space="preserve">y not </w:t>
            </w:r>
            <w:r w:rsidR="009B63EC">
              <w:rPr>
                <w:sz w:val="18"/>
                <w:szCs w:val="18"/>
              </w:rPr>
              <w:t>considering</w:t>
            </w:r>
            <w:r w:rsidR="009B63EC" w:rsidRPr="7CC731B0">
              <w:rPr>
                <w:sz w:val="18"/>
                <w:szCs w:val="18"/>
              </w:rPr>
              <w:t xml:space="preserve"> </w:t>
            </w:r>
            <w:r w:rsidR="008A36F2">
              <w:rPr>
                <w:sz w:val="18"/>
                <w:szCs w:val="18"/>
              </w:rPr>
              <w:t>more robust</w:t>
            </w:r>
            <w:r w:rsidR="54452B94" w:rsidRPr="7CC731B0">
              <w:rPr>
                <w:sz w:val="18"/>
                <w:szCs w:val="18"/>
              </w:rPr>
              <w:t xml:space="preserve"> ROE </w:t>
            </w:r>
            <w:r w:rsidR="009B63EC">
              <w:rPr>
                <w:sz w:val="18"/>
                <w:szCs w:val="18"/>
              </w:rPr>
              <w:t>adjustment mechanisms</w:t>
            </w:r>
            <w:r w:rsidR="005F2E7B">
              <w:rPr>
                <w:sz w:val="18"/>
                <w:szCs w:val="18"/>
              </w:rPr>
              <w:t xml:space="preserve"> (i.e., performance incentive mechanisms, or “PIMs”)</w:t>
            </w:r>
            <w:r w:rsidR="54452B94" w:rsidRPr="7CC731B0">
              <w:rPr>
                <w:sz w:val="18"/>
                <w:szCs w:val="18"/>
              </w:rPr>
              <w:t>.</w:t>
            </w:r>
            <w:r w:rsidR="37729AD3" w:rsidRPr="7CC731B0">
              <w:rPr>
                <w:sz w:val="18"/>
                <w:szCs w:val="18"/>
              </w:rPr>
              <w:t xml:space="preserve"> </w:t>
            </w:r>
            <w:r w:rsidR="4DE76D0E" w:rsidRPr="7CC731B0">
              <w:rPr>
                <w:sz w:val="18"/>
                <w:szCs w:val="18"/>
              </w:rPr>
              <w:t>The statutory limit</w:t>
            </w:r>
            <w:r w:rsidR="7B728D26" w:rsidRPr="7CC731B0">
              <w:rPr>
                <w:sz w:val="18"/>
                <w:szCs w:val="18"/>
              </w:rPr>
              <w:t xml:space="preserve"> of ±50 bps</w:t>
            </w:r>
            <w:r w:rsidR="4DE76D0E" w:rsidRPr="7CC731B0">
              <w:rPr>
                <w:sz w:val="18"/>
                <w:szCs w:val="18"/>
              </w:rPr>
              <w:t xml:space="preserve"> to ROE adjustment based on performance may limit the potential impact on the ability of the SCC to incentivize improved performance against the </w:t>
            </w:r>
            <w:r w:rsidR="0679620B" w:rsidRPr="7CC731B0">
              <w:rPr>
                <w:sz w:val="18"/>
                <w:szCs w:val="18"/>
              </w:rPr>
              <w:t>standards and protocols that will be approved by the SCC</w:t>
            </w:r>
            <w:r w:rsidR="4DE76D0E" w:rsidRPr="7CC731B0">
              <w:rPr>
                <w:sz w:val="18"/>
                <w:szCs w:val="18"/>
              </w:rPr>
              <w:t>.</w:t>
            </w:r>
            <w:r w:rsidR="70F43D1D" w:rsidRPr="7CC731B0">
              <w:rPr>
                <w:sz w:val="18"/>
                <w:szCs w:val="18"/>
              </w:rPr>
              <w:t xml:space="preserve"> </w:t>
            </w:r>
          </w:p>
          <w:p w14:paraId="7AACDEE1" w14:textId="77777777" w:rsidR="00FF48AB" w:rsidRDefault="00FF48AB" w:rsidP="00D35E74">
            <w:pPr>
              <w:pStyle w:val="TableParagraph"/>
              <w:keepLines/>
              <w:widowControl/>
              <w:rPr>
                <w:sz w:val="18"/>
                <w:szCs w:val="18"/>
              </w:rPr>
            </w:pPr>
          </w:p>
          <w:p w14:paraId="4580757A" w14:textId="2FD4EDFA" w:rsidR="00401D23" w:rsidRDefault="70F43D1D" w:rsidP="00D35E74">
            <w:pPr>
              <w:pStyle w:val="TableParagraph"/>
              <w:keepLines/>
              <w:widowControl/>
              <w:rPr>
                <w:sz w:val="18"/>
                <w:szCs w:val="18"/>
              </w:rPr>
            </w:pPr>
            <w:r w:rsidRPr="7CC731B0">
              <w:rPr>
                <w:sz w:val="18"/>
                <w:szCs w:val="18"/>
              </w:rPr>
              <w:t xml:space="preserve">Moreover, the authority to adjust base ROE </w:t>
            </w:r>
            <w:r w:rsidR="1E63DAA2" w:rsidRPr="7CC731B0">
              <w:rPr>
                <w:sz w:val="18"/>
                <w:szCs w:val="18"/>
              </w:rPr>
              <w:t>is limited</w:t>
            </w:r>
            <w:r w:rsidR="5B099535" w:rsidRPr="7CC731B0">
              <w:rPr>
                <w:sz w:val="18"/>
                <w:szCs w:val="18"/>
              </w:rPr>
              <w:t xml:space="preserve"> to</w:t>
            </w:r>
            <w:r w:rsidR="4FD5D6B7" w:rsidRPr="7CC731B0">
              <w:rPr>
                <w:sz w:val="18"/>
                <w:szCs w:val="18"/>
              </w:rPr>
              <w:t xml:space="preserve"> a narrow set of</w:t>
            </w:r>
            <w:r w:rsidRPr="7CC731B0">
              <w:rPr>
                <w:sz w:val="18"/>
                <w:szCs w:val="18"/>
              </w:rPr>
              <w:t xml:space="preserve"> four performance categories </w:t>
            </w:r>
            <w:r w:rsidR="00F079B1">
              <w:rPr>
                <w:sz w:val="18"/>
                <w:szCs w:val="18"/>
              </w:rPr>
              <w:t>(reliability, generating plant performance, customer service, and operating efficiency)</w:t>
            </w:r>
            <w:r w:rsidR="46941CCB" w:rsidRPr="7CC731B0">
              <w:rPr>
                <w:sz w:val="18"/>
                <w:szCs w:val="18"/>
              </w:rPr>
              <w:t xml:space="preserve">, constrains the SCC’s ability to create </w:t>
            </w:r>
            <w:r w:rsidR="00997B1B">
              <w:rPr>
                <w:sz w:val="18"/>
                <w:szCs w:val="18"/>
              </w:rPr>
              <w:t>PIMs</w:t>
            </w:r>
            <w:r w:rsidR="46941CCB" w:rsidRPr="7CC731B0">
              <w:rPr>
                <w:sz w:val="18"/>
                <w:szCs w:val="18"/>
              </w:rPr>
              <w:t xml:space="preserve"> that would deliver benefits </w:t>
            </w:r>
            <w:r w:rsidR="548991D8" w:rsidRPr="7CC731B0">
              <w:rPr>
                <w:sz w:val="18"/>
                <w:szCs w:val="18"/>
              </w:rPr>
              <w:t xml:space="preserve">relative to the broader set of </w:t>
            </w:r>
            <w:r w:rsidR="0DB893C0" w:rsidRPr="0CB46182">
              <w:rPr>
                <w:sz w:val="18"/>
                <w:szCs w:val="18"/>
              </w:rPr>
              <w:t>p</w:t>
            </w:r>
            <w:r w:rsidR="548991D8" w:rsidRPr="0CB46182">
              <w:rPr>
                <w:sz w:val="18"/>
                <w:szCs w:val="18"/>
              </w:rPr>
              <w:t xml:space="preserve">erformance </w:t>
            </w:r>
            <w:r w:rsidR="596C9737" w:rsidRPr="0CB46182">
              <w:rPr>
                <w:sz w:val="18"/>
                <w:szCs w:val="18"/>
              </w:rPr>
              <w:t>a</w:t>
            </w:r>
            <w:r w:rsidR="548991D8" w:rsidRPr="0CB46182">
              <w:rPr>
                <w:sz w:val="18"/>
                <w:szCs w:val="18"/>
              </w:rPr>
              <w:t>reas</w:t>
            </w:r>
            <w:r w:rsidR="548991D8" w:rsidRPr="7CC731B0">
              <w:rPr>
                <w:sz w:val="18"/>
                <w:szCs w:val="18"/>
              </w:rPr>
              <w:t xml:space="preserve"> included in HJR No. 30 / SJR No. 47</w:t>
            </w:r>
            <w:r w:rsidRPr="7CC731B0">
              <w:rPr>
                <w:sz w:val="18"/>
                <w:szCs w:val="18"/>
              </w:rPr>
              <w:t>.</w:t>
            </w:r>
          </w:p>
          <w:p w14:paraId="47C22C88" w14:textId="77777777" w:rsidR="00251FB5" w:rsidRDefault="00251FB5" w:rsidP="00D35E74">
            <w:pPr>
              <w:pStyle w:val="TableParagraph"/>
              <w:keepLines/>
              <w:widowControl/>
              <w:rPr>
                <w:sz w:val="18"/>
                <w:szCs w:val="20"/>
              </w:rPr>
            </w:pPr>
          </w:p>
          <w:p w14:paraId="4746AFC5" w14:textId="3945928A" w:rsidR="00401D23" w:rsidRPr="001968A5" w:rsidRDefault="00F63403" w:rsidP="00D35E74">
            <w:pPr>
              <w:pStyle w:val="TableParagraph"/>
              <w:keepLines/>
              <w:widowControl/>
              <w:rPr>
                <w:sz w:val="18"/>
                <w:szCs w:val="18"/>
              </w:rPr>
            </w:pPr>
            <w:r w:rsidRPr="001968A5">
              <w:rPr>
                <w:sz w:val="18"/>
                <w:szCs w:val="18"/>
              </w:rPr>
              <w:t>States that have implemented robust</w:t>
            </w:r>
            <w:r>
              <w:rPr>
                <w:sz w:val="18"/>
                <w:szCs w:val="18"/>
              </w:rPr>
              <w:t xml:space="preserve"> portfolios of</w:t>
            </w:r>
            <w:r w:rsidRPr="001968A5">
              <w:rPr>
                <w:sz w:val="18"/>
                <w:szCs w:val="18"/>
              </w:rPr>
              <w:t xml:space="preserve"> performance metrics and incentives related to</w:t>
            </w:r>
            <w:r w:rsidRPr="001968A5">
              <w:rPr>
                <w:sz w:val="18"/>
                <w:szCs w:val="18"/>
              </w:rPr>
              <w:t xml:space="preserve"> </w:t>
            </w:r>
            <w:r w:rsidR="00734C38">
              <w:rPr>
                <w:sz w:val="18"/>
                <w:szCs w:val="18"/>
              </w:rPr>
              <w:t xml:space="preserve">some of the other </w:t>
            </w:r>
            <w:r w:rsidR="29A1202E" w:rsidRPr="747283BD">
              <w:rPr>
                <w:sz w:val="18"/>
                <w:szCs w:val="18"/>
              </w:rPr>
              <w:t>p</w:t>
            </w:r>
            <w:r w:rsidR="00734C38" w:rsidRPr="747283BD">
              <w:rPr>
                <w:sz w:val="18"/>
                <w:szCs w:val="18"/>
              </w:rPr>
              <w:t xml:space="preserve">erformance </w:t>
            </w:r>
            <w:r w:rsidR="1AC7F662" w:rsidRPr="747283BD">
              <w:rPr>
                <w:sz w:val="18"/>
                <w:szCs w:val="18"/>
              </w:rPr>
              <w:t>a</w:t>
            </w:r>
            <w:r w:rsidR="00734C38" w:rsidRPr="747283BD">
              <w:rPr>
                <w:sz w:val="18"/>
                <w:szCs w:val="18"/>
              </w:rPr>
              <w:t>reas</w:t>
            </w:r>
            <w:r w:rsidR="00734C38">
              <w:rPr>
                <w:sz w:val="18"/>
                <w:szCs w:val="18"/>
              </w:rPr>
              <w:t xml:space="preserve"> included in HJR No. 30/ SJR No.47 </w:t>
            </w:r>
            <w:r w:rsidR="004D3337">
              <w:rPr>
                <w:sz w:val="18"/>
                <w:szCs w:val="18"/>
              </w:rPr>
              <w:t>– such as</w:t>
            </w:r>
            <w:r w:rsidRPr="001968A5">
              <w:rPr>
                <w:sz w:val="18"/>
                <w:szCs w:val="18"/>
              </w:rPr>
              <w:t xml:space="preserve"> </w:t>
            </w:r>
            <w:r w:rsidRPr="55B94F2F">
              <w:rPr>
                <w:b/>
                <w:sz w:val="18"/>
                <w:szCs w:val="18"/>
              </w:rPr>
              <w:t xml:space="preserve">beneficial electrification, DER interconnection and utilization, </w:t>
            </w:r>
            <w:r w:rsidR="09C59197" w:rsidRPr="74F0F07B">
              <w:rPr>
                <w:b/>
                <w:bCs/>
                <w:sz w:val="18"/>
                <w:szCs w:val="18"/>
              </w:rPr>
              <w:t>electricity decarbonization</w:t>
            </w:r>
            <w:r w:rsidRPr="55B94F2F">
              <w:rPr>
                <w:b/>
                <w:sz w:val="18"/>
                <w:szCs w:val="18"/>
              </w:rPr>
              <w:t>, environmental justice</w:t>
            </w:r>
            <w:r w:rsidRPr="001968A5">
              <w:rPr>
                <w:sz w:val="18"/>
                <w:szCs w:val="18"/>
              </w:rPr>
              <w:t>, among others</w:t>
            </w:r>
            <w:r w:rsidRPr="001968A5">
              <w:rPr>
                <w:sz w:val="18"/>
                <w:szCs w:val="18"/>
              </w:rPr>
              <w:t xml:space="preserve"> </w:t>
            </w:r>
            <w:r w:rsidR="005571C6">
              <w:rPr>
                <w:sz w:val="18"/>
                <w:szCs w:val="18"/>
              </w:rPr>
              <w:t>–</w:t>
            </w:r>
            <w:r w:rsidRPr="001968A5">
              <w:rPr>
                <w:sz w:val="18"/>
                <w:szCs w:val="18"/>
              </w:rPr>
              <w:t xml:space="preserve"> include </w:t>
            </w:r>
            <w:r w:rsidRPr="001968A5">
              <w:rPr>
                <w:b/>
                <w:bCs/>
                <w:sz w:val="18"/>
                <w:szCs w:val="18"/>
              </w:rPr>
              <w:t xml:space="preserve">Hawaii, New York, </w:t>
            </w:r>
            <w:r>
              <w:rPr>
                <w:b/>
                <w:bCs/>
                <w:sz w:val="18"/>
                <w:szCs w:val="18"/>
              </w:rPr>
              <w:t>Minnesota,</w:t>
            </w:r>
            <w:r w:rsidRPr="001968A5">
              <w:rPr>
                <w:b/>
                <w:bCs/>
                <w:sz w:val="18"/>
                <w:szCs w:val="18"/>
              </w:rPr>
              <w:t xml:space="preserve"> Illinois, </w:t>
            </w:r>
            <w:r w:rsidRPr="001968A5">
              <w:rPr>
                <w:sz w:val="18"/>
                <w:szCs w:val="18"/>
              </w:rPr>
              <w:t>and</w:t>
            </w:r>
            <w:r w:rsidRPr="001968A5">
              <w:rPr>
                <w:b/>
                <w:bCs/>
                <w:sz w:val="18"/>
                <w:szCs w:val="18"/>
              </w:rPr>
              <w:t xml:space="preserve"> Colorado</w:t>
            </w:r>
            <w:r>
              <w:rPr>
                <w:b/>
                <w:bCs/>
                <w:sz w:val="18"/>
                <w:szCs w:val="18"/>
              </w:rPr>
              <w:t>.</w:t>
            </w:r>
            <w:r>
              <w:rPr>
                <w:b/>
                <w:bCs/>
                <w:sz w:val="18"/>
                <w:szCs w:val="18"/>
              </w:rPr>
              <w:t xml:space="preserve"> </w:t>
            </w:r>
            <w:r w:rsidR="003547C7" w:rsidRPr="005571C6">
              <w:rPr>
                <w:sz w:val="18"/>
                <w:szCs w:val="18"/>
              </w:rPr>
              <w:t xml:space="preserve">In </w:t>
            </w:r>
            <w:r w:rsidRPr="005571C6">
              <w:rPr>
                <w:sz w:val="18"/>
                <w:szCs w:val="18"/>
              </w:rPr>
              <w:t xml:space="preserve">Hawaii, </w:t>
            </w:r>
            <w:r w:rsidR="003547C7" w:rsidRPr="005571C6">
              <w:rPr>
                <w:sz w:val="18"/>
                <w:szCs w:val="18"/>
              </w:rPr>
              <w:t>the PUC</w:t>
            </w:r>
            <w:r w:rsidRPr="005571C6">
              <w:rPr>
                <w:sz w:val="18"/>
                <w:szCs w:val="18"/>
              </w:rPr>
              <w:t xml:space="preserve"> determined </w:t>
            </w:r>
            <w:r w:rsidR="003547C7" w:rsidRPr="005571C6">
              <w:rPr>
                <w:sz w:val="18"/>
                <w:szCs w:val="18"/>
              </w:rPr>
              <w:t xml:space="preserve">that </w:t>
            </w:r>
            <w:r w:rsidR="00EF6EC9" w:rsidRPr="005571C6">
              <w:rPr>
                <w:sz w:val="18"/>
                <w:szCs w:val="18"/>
              </w:rPr>
              <w:t>it was</w:t>
            </w:r>
            <w:r w:rsidR="003547C7" w:rsidRPr="005571C6">
              <w:rPr>
                <w:sz w:val="18"/>
                <w:szCs w:val="18"/>
              </w:rPr>
              <w:t xml:space="preserve"> </w:t>
            </w:r>
            <w:r w:rsidR="00EF6EC9" w:rsidRPr="005571C6">
              <w:rPr>
                <w:sz w:val="18"/>
                <w:szCs w:val="18"/>
              </w:rPr>
              <w:t xml:space="preserve">appropriate to </w:t>
            </w:r>
            <w:r w:rsidR="5F830A76" w:rsidRPr="76E82D32">
              <w:rPr>
                <w:sz w:val="18"/>
                <w:szCs w:val="18"/>
              </w:rPr>
              <w:t xml:space="preserve">implement a portfolio of PIMs whose cumulative </w:t>
            </w:r>
            <w:r w:rsidR="5F830A76" w:rsidRPr="5C31DDBB">
              <w:rPr>
                <w:sz w:val="18"/>
                <w:szCs w:val="18"/>
              </w:rPr>
              <w:t>value</w:t>
            </w:r>
            <w:r w:rsidR="5F830A76" w:rsidRPr="5C31DDBB">
              <w:rPr>
                <w:sz w:val="18"/>
                <w:szCs w:val="18"/>
              </w:rPr>
              <w:t xml:space="preserve"> </w:t>
            </w:r>
            <w:r w:rsidR="5F830A76" w:rsidRPr="01A62C92">
              <w:rPr>
                <w:sz w:val="18"/>
                <w:szCs w:val="18"/>
              </w:rPr>
              <w:t>totaled up</w:t>
            </w:r>
            <w:r w:rsidR="00EF6EC9" w:rsidRPr="005571C6">
              <w:rPr>
                <w:sz w:val="18"/>
                <w:szCs w:val="18"/>
              </w:rPr>
              <w:t xml:space="preserve"> to </w:t>
            </w:r>
            <w:r w:rsidR="00EF6EC9" w:rsidRPr="7CC731B0">
              <w:rPr>
                <w:sz w:val="18"/>
                <w:szCs w:val="18"/>
              </w:rPr>
              <w:t>±</w:t>
            </w:r>
            <w:r w:rsidR="00EF6EC9">
              <w:rPr>
                <w:sz w:val="18"/>
                <w:szCs w:val="18"/>
              </w:rPr>
              <w:t>200bps</w:t>
            </w:r>
            <w:r w:rsidR="00EF6EC9" w:rsidRPr="00557C24">
              <w:rPr>
                <w:sz w:val="18"/>
                <w:szCs w:val="18"/>
              </w:rPr>
              <w:t xml:space="preserve"> </w:t>
            </w:r>
            <w:r w:rsidR="00EF6EC9" w:rsidRPr="005571C6">
              <w:rPr>
                <w:sz w:val="18"/>
                <w:szCs w:val="18"/>
              </w:rPr>
              <w:t>as part of its comp</w:t>
            </w:r>
            <w:r w:rsidR="00557C24" w:rsidRPr="005571C6">
              <w:rPr>
                <w:sz w:val="18"/>
                <w:szCs w:val="18"/>
              </w:rPr>
              <w:t>rehensive PBR framework.</w:t>
            </w:r>
          </w:p>
        </w:tc>
      </w:tr>
      <w:tr w:rsidR="00196D82" w:rsidRPr="009E495E" w14:paraId="73D0E6D3" w14:textId="77777777" w:rsidTr="65AE7816">
        <w:tc>
          <w:tcPr>
            <w:tcW w:w="1260" w:type="dxa"/>
            <w:vMerge/>
          </w:tcPr>
          <w:p w14:paraId="681B9DE3" w14:textId="77777777" w:rsidR="00196D82" w:rsidRPr="009E495E" w:rsidRDefault="00196D82" w:rsidP="00196D82">
            <w:pPr>
              <w:pStyle w:val="TableParagraph"/>
              <w:keepLines/>
              <w:widowControl/>
              <w:spacing w:line="268" w:lineRule="auto"/>
              <w:ind w:left="60"/>
              <w:rPr>
                <w:b/>
                <w:spacing w:val="-2"/>
                <w:sz w:val="18"/>
                <w:szCs w:val="20"/>
              </w:rPr>
            </w:pPr>
          </w:p>
        </w:tc>
        <w:tc>
          <w:tcPr>
            <w:tcW w:w="1260" w:type="dxa"/>
          </w:tcPr>
          <w:p w14:paraId="06850D5F" w14:textId="35D08BE5" w:rsidR="00196D82" w:rsidRPr="009E495E" w:rsidRDefault="00196D82" w:rsidP="00196D82">
            <w:pPr>
              <w:pStyle w:val="TableParagraph"/>
              <w:keepLines/>
              <w:widowControl/>
              <w:spacing w:line="207" w:lineRule="exact"/>
              <w:ind w:left="104"/>
              <w:rPr>
                <w:sz w:val="18"/>
                <w:szCs w:val="20"/>
              </w:rPr>
            </w:pPr>
            <w:r w:rsidRPr="009E495E">
              <w:rPr>
                <w:sz w:val="18"/>
                <w:szCs w:val="20"/>
              </w:rPr>
              <w:t xml:space="preserve">Performance mechanisms (e.g., metrics, scorecards, PIMS), in Case No. PUR-2023-00210 </w:t>
            </w:r>
          </w:p>
        </w:tc>
        <w:tc>
          <w:tcPr>
            <w:tcW w:w="1170" w:type="dxa"/>
          </w:tcPr>
          <w:p w14:paraId="08912BD1" w14:textId="77777777" w:rsidR="00196D82" w:rsidRPr="00693160" w:rsidRDefault="00196D82" w:rsidP="00196D82">
            <w:pPr>
              <w:pStyle w:val="TableParagraph"/>
              <w:keepLines/>
              <w:widowControl/>
              <w:numPr>
                <w:ilvl w:val="0"/>
                <w:numId w:val="10"/>
              </w:numPr>
              <w:ind w:left="144" w:hanging="144"/>
              <w:rPr>
                <w:sz w:val="18"/>
                <w:szCs w:val="18"/>
              </w:rPr>
            </w:pPr>
            <w:r w:rsidRPr="00693160">
              <w:rPr>
                <w:sz w:val="18"/>
                <w:szCs w:val="18"/>
              </w:rPr>
              <w:t>Reliability</w:t>
            </w:r>
            <w:r>
              <w:rPr>
                <w:sz w:val="18"/>
                <w:szCs w:val="18"/>
              </w:rPr>
              <w:t xml:space="preserve"> and resiliency</w:t>
            </w:r>
          </w:p>
          <w:p w14:paraId="444AA48D" w14:textId="77777777" w:rsidR="00196D82" w:rsidRPr="00693160" w:rsidRDefault="00196D82" w:rsidP="00196D82">
            <w:pPr>
              <w:pStyle w:val="TableParagraph"/>
              <w:keepLines/>
              <w:widowControl/>
              <w:numPr>
                <w:ilvl w:val="0"/>
                <w:numId w:val="10"/>
              </w:numPr>
              <w:ind w:left="144" w:hanging="144"/>
              <w:rPr>
                <w:sz w:val="18"/>
                <w:szCs w:val="18"/>
              </w:rPr>
            </w:pPr>
            <w:r w:rsidRPr="00693160">
              <w:rPr>
                <w:sz w:val="18"/>
                <w:szCs w:val="18"/>
              </w:rPr>
              <w:t>Electricity decarbonization</w:t>
            </w:r>
          </w:p>
          <w:p w14:paraId="7E9794D4" w14:textId="77777777" w:rsidR="00196D82" w:rsidRPr="00693160" w:rsidRDefault="00196D82" w:rsidP="00196D82">
            <w:pPr>
              <w:pStyle w:val="TableParagraph"/>
              <w:keepLines/>
              <w:widowControl/>
              <w:numPr>
                <w:ilvl w:val="0"/>
                <w:numId w:val="10"/>
              </w:numPr>
              <w:ind w:left="144" w:hanging="144"/>
              <w:rPr>
                <w:sz w:val="18"/>
                <w:szCs w:val="18"/>
              </w:rPr>
            </w:pPr>
            <w:r w:rsidRPr="00693160">
              <w:rPr>
                <w:sz w:val="18"/>
                <w:szCs w:val="18"/>
              </w:rPr>
              <w:t>DER integration</w:t>
            </w:r>
          </w:p>
          <w:p w14:paraId="18358087" w14:textId="77777777" w:rsidR="00196D82" w:rsidRDefault="00196D82" w:rsidP="00196D82">
            <w:pPr>
              <w:pStyle w:val="TableParagraph"/>
              <w:keepLines/>
              <w:widowControl/>
              <w:numPr>
                <w:ilvl w:val="0"/>
                <w:numId w:val="10"/>
              </w:numPr>
              <w:ind w:left="144" w:hanging="144"/>
              <w:rPr>
                <w:sz w:val="18"/>
                <w:szCs w:val="18"/>
              </w:rPr>
            </w:pPr>
            <w:r w:rsidRPr="00C46D8E">
              <w:rPr>
                <w:sz w:val="18"/>
                <w:szCs w:val="18"/>
              </w:rPr>
              <w:t>Peak demand reductions</w:t>
            </w:r>
          </w:p>
          <w:p w14:paraId="57908A17" w14:textId="77777777" w:rsidR="00196D82" w:rsidRPr="00C46D8E" w:rsidRDefault="00196D82" w:rsidP="00196D82">
            <w:pPr>
              <w:pStyle w:val="TableParagraph"/>
              <w:keepLines/>
              <w:widowControl/>
              <w:numPr>
                <w:ilvl w:val="0"/>
                <w:numId w:val="10"/>
              </w:numPr>
              <w:ind w:left="144" w:hanging="144"/>
              <w:rPr>
                <w:sz w:val="18"/>
                <w:szCs w:val="18"/>
              </w:rPr>
            </w:pPr>
            <w:r w:rsidRPr="00C46D8E">
              <w:rPr>
                <w:sz w:val="18"/>
                <w:szCs w:val="18"/>
              </w:rPr>
              <w:t>Operating efficiency</w:t>
            </w:r>
          </w:p>
          <w:p w14:paraId="395EAB50" w14:textId="5F0E8665" w:rsidR="00196D82" w:rsidRPr="00693160" w:rsidRDefault="00196D82" w:rsidP="00196D82">
            <w:pPr>
              <w:pStyle w:val="TableParagraph"/>
              <w:keepLines/>
              <w:widowControl/>
              <w:numPr>
                <w:ilvl w:val="0"/>
                <w:numId w:val="10"/>
              </w:numPr>
              <w:ind w:left="144" w:hanging="144"/>
              <w:rPr>
                <w:sz w:val="18"/>
                <w:szCs w:val="18"/>
              </w:rPr>
            </w:pPr>
            <w:r>
              <w:rPr>
                <w:sz w:val="18"/>
                <w:szCs w:val="18"/>
              </w:rPr>
              <w:t>A</w:t>
            </w:r>
            <w:r w:rsidRPr="00693160">
              <w:rPr>
                <w:sz w:val="18"/>
                <w:szCs w:val="18"/>
              </w:rPr>
              <w:t>ffordability</w:t>
            </w:r>
          </w:p>
        </w:tc>
        <w:tc>
          <w:tcPr>
            <w:tcW w:w="3060" w:type="dxa"/>
          </w:tcPr>
          <w:p w14:paraId="6CDB5095" w14:textId="32AAE2F5" w:rsidR="004A44DF" w:rsidRDefault="004A44DF" w:rsidP="004A44DF">
            <w:pPr>
              <w:pStyle w:val="TableParagraph"/>
              <w:keepLines/>
              <w:widowControl/>
              <w:rPr>
                <w:sz w:val="18"/>
                <w:szCs w:val="18"/>
              </w:rPr>
            </w:pPr>
            <w:r w:rsidRPr="789C5B7F">
              <w:rPr>
                <w:sz w:val="18"/>
                <w:szCs w:val="18"/>
              </w:rPr>
              <w:t xml:space="preserve">In case PUR-2023-00210, the SCC staff have filed proposed draft regulations to implement a </w:t>
            </w:r>
            <w:r w:rsidR="00997B1B">
              <w:rPr>
                <w:sz w:val="18"/>
                <w:szCs w:val="18"/>
              </w:rPr>
              <w:t xml:space="preserve">selection of 11 </w:t>
            </w:r>
            <w:r w:rsidRPr="789C5B7F">
              <w:rPr>
                <w:sz w:val="18"/>
                <w:szCs w:val="18"/>
              </w:rPr>
              <w:t xml:space="preserve">“scorecard” </w:t>
            </w:r>
            <w:r w:rsidR="00997B1B">
              <w:rPr>
                <w:sz w:val="18"/>
                <w:szCs w:val="18"/>
              </w:rPr>
              <w:t>metrics (</w:t>
            </w:r>
            <w:proofErr w:type="gramStart"/>
            <w:r w:rsidR="00997B1B">
              <w:rPr>
                <w:sz w:val="18"/>
                <w:szCs w:val="18"/>
              </w:rPr>
              <w:t>similar to</w:t>
            </w:r>
            <w:proofErr w:type="gramEnd"/>
            <w:r w:rsidR="00997B1B">
              <w:rPr>
                <w:sz w:val="18"/>
                <w:szCs w:val="18"/>
              </w:rPr>
              <w:t xml:space="preserve"> PIMs, but different in a few </w:t>
            </w:r>
            <w:proofErr w:type="gramStart"/>
            <w:r w:rsidR="00997B1B">
              <w:rPr>
                <w:sz w:val="18"/>
                <w:szCs w:val="18"/>
              </w:rPr>
              <w:t>key ways</w:t>
            </w:r>
            <w:proofErr w:type="gramEnd"/>
            <w:r w:rsidR="00997B1B">
              <w:rPr>
                <w:sz w:val="18"/>
                <w:szCs w:val="18"/>
              </w:rPr>
              <w:t xml:space="preserve"> discussed to the </w:t>
            </w:r>
            <w:proofErr w:type="gramStart"/>
            <w:r w:rsidR="00997B1B">
              <w:rPr>
                <w:sz w:val="18"/>
                <w:szCs w:val="18"/>
              </w:rPr>
              <w:t>right)</w:t>
            </w:r>
            <w:r w:rsidRPr="789C5B7F">
              <w:rPr>
                <w:sz w:val="18"/>
                <w:szCs w:val="18"/>
              </w:rPr>
              <w:t>to</w:t>
            </w:r>
            <w:proofErr w:type="gramEnd"/>
            <w:r w:rsidRPr="789C5B7F">
              <w:rPr>
                <w:sz w:val="18"/>
                <w:szCs w:val="18"/>
              </w:rPr>
              <w:t xml:space="preserve"> be used in biennial review proceedings to determine an ROE incentive in 2027 and beyond. The proposed rules </w:t>
            </w:r>
            <w:r>
              <w:rPr>
                <w:sz w:val="18"/>
                <w:szCs w:val="18"/>
              </w:rPr>
              <w:t>are awaiting</w:t>
            </w:r>
            <w:r w:rsidRPr="789C5B7F">
              <w:rPr>
                <w:sz w:val="18"/>
                <w:szCs w:val="18"/>
              </w:rPr>
              <w:t xml:space="preserve"> a final order from the SCC prior to being adopted.</w:t>
            </w:r>
          </w:p>
          <w:p w14:paraId="21326F86" w14:textId="77777777" w:rsidR="004A44DF" w:rsidRDefault="004A44DF" w:rsidP="00196D82">
            <w:pPr>
              <w:pStyle w:val="TableParagraph"/>
              <w:keepLines/>
              <w:widowControl/>
              <w:rPr>
                <w:sz w:val="18"/>
                <w:szCs w:val="18"/>
              </w:rPr>
            </w:pPr>
          </w:p>
          <w:p w14:paraId="399B0EDB" w14:textId="4932E9FA" w:rsidR="00572844" w:rsidRDefault="00A86AC6" w:rsidP="00196D82">
            <w:pPr>
              <w:pStyle w:val="TableParagraph"/>
              <w:keepLines/>
              <w:widowControl/>
              <w:rPr>
                <w:sz w:val="18"/>
                <w:szCs w:val="18"/>
              </w:rPr>
            </w:pPr>
            <w:r>
              <w:rPr>
                <w:sz w:val="18"/>
                <w:szCs w:val="18"/>
              </w:rPr>
              <w:t>In the same proceeding</w:t>
            </w:r>
            <w:r w:rsidR="00DC2F8C">
              <w:rPr>
                <w:sz w:val="18"/>
                <w:szCs w:val="18"/>
              </w:rPr>
              <w:t xml:space="preserve">, the SCC staff have proposed to implement a </w:t>
            </w:r>
            <w:r w:rsidR="00196D82" w:rsidRPr="001968A5">
              <w:rPr>
                <w:sz w:val="18"/>
                <w:szCs w:val="18"/>
              </w:rPr>
              <w:t xml:space="preserve">set of reporting metrics </w:t>
            </w:r>
            <w:r w:rsidR="00572844">
              <w:rPr>
                <w:sz w:val="18"/>
                <w:szCs w:val="18"/>
              </w:rPr>
              <w:t>which would be</w:t>
            </w:r>
            <w:r w:rsidR="00A600DF">
              <w:rPr>
                <w:sz w:val="18"/>
                <w:szCs w:val="18"/>
              </w:rPr>
              <w:t xml:space="preserve"> reported by utilities for </w:t>
            </w:r>
            <w:r>
              <w:rPr>
                <w:sz w:val="18"/>
                <w:szCs w:val="18"/>
              </w:rPr>
              <w:t>informational purposes only (i.e., no financial incentive would be determined based on the information provided against these metrics).</w:t>
            </w:r>
            <w:r w:rsidR="00196D82" w:rsidRPr="001968A5">
              <w:rPr>
                <w:sz w:val="18"/>
                <w:szCs w:val="18"/>
              </w:rPr>
              <w:t xml:space="preserve"> </w:t>
            </w:r>
          </w:p>
          <w:p w14:paraId="22F24BE9" w14:textId="77777777" w:rsidR="00572844" w:rsidRDefault="00572844" w:rsidP="00196D82">
            <w:pPr>
              <w:pStyle w:val="TableParagraph"/>
              <w:keepLines/>
              <w:widowControl/>
              <w:rPr>
                <w:sz w:val="18"/>
                <w:szCs w:val="18"/>
              </w:rPr>
            </w:pPr>
          </w:p>
          <w:p w14:paraId="677913EF" w14:textId="44AB328B" w:rsidR="00196D82" w:rsidRDefault="00572844" w:rsidP="00196D82">
            <w:pPr>
              <w:pStyle w:val="TableParagraph"/>
              <w:keepLines/>
              <w:widowControl/>
              <w:rPr>
                <w:sz w:val="18"/>
                <w:szCs w:val="18"/>
              </w:rPr>
            </w:pPr>
            <w:r>
              <w:rPr>
                <w:sz w:val="18"/>
                <w:szCs w:val="18"/>
              </w:rPr>
              <w:t xml:space="preserve">All PIMs and reporting metrics in this proceeding are limited to the </w:t>
            </w:r>
            <w:r w:rsidR="007906A9">
              <w:rPr>
                <w:sz w:val="18"/>
                <w:szCs w:val="18"/>
              </w:rPr>
              <w:t xml:space="preserve">outcomes of </w:t>
            </w:r>
            <w:r w:rsidR="00196D82" w:rsidRPr="001968A5">
              <w:rPr>
                <w:sz w:val="18"/>
                <w:szCs w:val="18"/>
              </w:rPr>
              <w:t>reliability, generating plant performance, customer service, operating efficiency</w:t>
            </w:r>
          </w:p>
          <w:p w14:paraId="2AFE987C" w14:textId="77777777" w:rsidR="00196D82" w:rsidRDefault="00196D82" w:rsidP="00196D82">
            <w:pPr>
              <w:pStyle w:val="TableParagraph"/>
              <w:keepLines/>
              <w:widowControl/>
              <w:rPr>
                <w:sz w:val="18"/>
                <w:szCs w:val="18"/>
              </w:rPr>
            </w:pPr>
          </w:p>
          <w:p w14:paraId="042C8CAA" w14:textId="49011B44" w:rsidR="00196D82" w:rsidRPr="001968A5" w:rsidRDefault="00196D82" w:rsidP="00196D82">
            <w:pPr>
              <w:pStyle w:val="TableParagraph"/>
              <w:keepLines/>
              <w:widowControl/>
              <w:rPr>
                <w:sz w:val="18"/>
                <w:szCs w:val="18"/>
              </w:rPr>
            </w:pPr>
            <w:r>
              <w:rPr>
                <w:sz w:val="18"/>
                <w:szCs w:val="18"/>
              </w:rPr>
              <w:t xml:space="preserve">There is </w:t>
            </w:r>
            <w:r w:rsidR="001F7A79">
              <w:rPr>
                <w:sz w:val="18"/>
                <w:szCs w:val="18"/>
              </w:rPr>
              <w:t xml:space="preserve">also </w:t>
            </w:r>
            <w:r>
              <w:rPr>
                <w:sz w:val="18"/>
                <w:szCs w:val="18"/>
              </w:rPr>
              <w:t>currently a performance</w:t>
            </w:r>
            <w:r>
              <w:rPr>
                <w:sz w:val="18"/>
                <w:szCs w:val="18"/>
              </w:rPr>
              <w:t xml:space="preserve"> </w:t>
            </w:r>
            <w:r w:rsidR="001F7A79">
              <w:rPr>
                <w:sz w:val="18"/>
                <w:szCs w:val="18"/>
              </w:rPr>
              <w:t>incentive mechanism</w:t>
            </w:r>
            <w:r>
              <w:rPr>
                <w:sz w:val="18"/>
                <w:szCs w:val="18"/>
              </w:rPr>
              <w:t xml:space="preserve"> </w:t>
            </w:r>
            <w:r w:rsidR="001F7A79">
              <w:rPr>
                <w:sz w:val="18"/>
                <w:szCs w:val="18"/>
              </w:rPr>
              <w:t>(</w:t>
            </w:r>
            <w:r>
              <w:rPr>
                <w:sz w:val="18"/>
                <w:szCs w:val="18"/>
              </w:rPr>
              <w:t>penalty</w:t>
            </w:r>
            <w:r>
              <w:rPr>
                <w:sz w:val="18"/>
                <w:szCs w:val="18"/>
              </w:rPr>
              <w:t xml:space="preserve"> </w:t>
            </w:r>
            <w:r w:rsidR="001F7A79">
              <w:rPr>
                <w:sz w:val="18"/>
                <w:szCs w:val="18"/>
              </w:rPr>
              <w:t>only)</w:t>
            </w:r>
            <w:r>
              <w:rPr>
                <w:sz w:val="18"/>
                <w:szCs w:val="18"/>
              </w:rPr>
              <w:t xml:space="preserve"> in place for failure to achieve the RPS targets. </w:t>
            </w:r>
          </w:p>
          <w:p w14:paraId="3C1D1167" w14:textId="77777777" w:rsidR="00196D82" w:rsidRPr="001968A5" w:rsidRDefault="00196D82" w:rsidP="00196D82">
            <w:pPr>
              <w:pStyle w:val="TableParagraph"/>
              <w:keepLines/>
              <w:widowControl/>
              <w:rPr>
                <w:sz w:val="18"/>
                <w:szCs w:val="18"/>
              </w:rPr>
            </w:pPr>
          </w:p>
          <w:p w14:paraId="4231665F" w14:textId="77777777" w:rsidR="00196D82" w:rsidRPr="001968A5" w:rsidRDefault="00196D82" w:rsidP="00196D82">
            <w:pPr>
              <w:pStyle w:val="TableParagraph"/>
              <w:keepLines/>
              <w:widowControl/>
              <w:rPr>
                <w:sz w:val="18"/>
                <w:szCs w:val="18"/>
              </w:rPr>
            </w:pPr>
          </w:p>
          <w:p w14:paraId="7C312F10" w14:textId="77777777" w:rsidR="00196D82" w:rsidRPr="001968A5" w:rsidRDefault="00196D82" w:rsidP="00196D82">
            <w:pPr>
              <w:pStyle w:val="TableParagraph"/>
              <w:keepLines/>
              <w:widowControl/>
              <w:rPr>
                <w:sz w:val="18"/>
                <w:szCs w:val="18"/>
              </w:rPr>
            </w:pPr>
          </w:p>
          <w:p w14:paraId="05E76FE1" w14:textId="77777777" w:rsidR="00196D82" w:rsidRPr="001968A5" w:rsidRDefault="00196D82" w:rsidP="00196D82">
            <w:pPr>
              <w:pStyle w:val="TableParagraph"/>
              <w:keepLines/>
              <w:widowControl/>
              <w:rPr>
                <w:sz w:val="18"/>
                <w:szCs w:val="18"/>
              </w:rPr>
            </w:pPr>
          </w:p>
          <w:p w14:paraId="1ABBAFFB" w14:textId="77777777" w:rsidR="00196D82" w:rsidRPr="001968A5" w:rsidRDefault="00196D82" w:rsidP="00196D82">
            <w:pPr>
              <w:pStyle w:val="TableParagraph"/>
              <w:keepLines/>
              <w:widowControl/>
              <w:rPr>
                <w:sz w:val="18"/>
                <w:szCs w:val="18"/>
              </w:rPr>
            </w:pPr>
          </w:p>
          <w:p w14:paraId="2D5AEE3A" w14:textId="77777777" w:rsidR="00196D82" w:rsidRPr="001968A5" w:rsidRDefault="00196D82" w:rsidP="00196D82">
            <w:pPr>
              <w:pStyle w:val="TableParagraph"/>
              <w:keepLines/>
              <w:widowControl/>
              <w:rPr>
                <w:sz w:val="18"/>
                <w:szCs w:val="18"/>
              </w:rPr>
            </w:pPr>
          </w:p>
          <w:p w14:paraId="7FDEDF92" w14:textId="77777777" w:rsidR="00196D82" w:rsidRPr="001968A5" w:rsidRDefault="00196D82" w:rsidP="00196D82">
            <w:pPr>
              <w:pStyle w:val="TableParagraph"/>
              <w:keepLines/>
              <w:widowControl/>
              <w:rPr>
                <w:sz w:val="18"/>
                <w:szCs w:val="18"/>
              </w:rPr>
            </w:pPr>
          </w:p>
        </w:tc>
        <w:tc>
          <w:tcPr>
            <w:tcW w:w="7830" w:type="dxa"/>
          </w:tcPr>
          <w:p w14:paraId="1BBFF4F0" w14:textId="76BEE61E" w:rsidR="005E4F0B" w:rsidRDefault="005E4F0B" w:rsidP="004A44DF">
            <w:pPr>
              <w:pStyle w:val="TableParagraph"/>
              <w:keepLines/>
              <w:widowControl/>
              <w:rPr>
                <w:sz w:val="18"/>
                <w:szCs w:val="18"/>
              </w:rPr>
            </w:pPr>
            <w:r>
              <w:rPr>
                <w:sz w:val="18"/>
                <w:szCs w:val="18"/>
              </w:rPr>
              <w:t xml:space="preserve">Though the ROE adjustment mechanisms (i.e., performance incentive mechanisms) are not yet in place, RMI’s comments in this section </w:t>
            </w:r>
            <w:proofErr w:type="gramStart"/>
            <w:r>
              <w:rPr>
                <w:sz w:val="18"/>
                <w:szCs w:val="18"/>
              </w:rPr>
              <w:t>are a reflection of</w:t>
            </w:r>
            <w:proofErr w:type="gramEnd"/>
            <w:r>
              <w:rPr>
                <w:sz w:val="18"/>
                <w:szCs w:val="18"/>
              </w:rPr>
              <w:t xml:space="preserve"> our understanding of where the </w:t>
            </w:r>
            <w:r w:rsidR="0097019A">
              <w:rPr>
                <w:sz w:val="18"/>
                <w:szCs w:val="18"/>
              </w:rPr>
              <w:t xml:space="preserve">PUR-2023-00210 </w:t>
            </w:r>
            <w:r>
              <w:rPr>
                <w:sz w:val="18"/>
                <w:szCs w:val="18"/>
              </w:rPr>
              <w:t>process currently</w:t>
            </w:r>
            <w:r w:rsidR="0097019A">
              <w:rPr>
                <w:sz w:val="18"/>
                <w:szCs w:val="18"/>
              </w:rPr>
              <w:t xml:space="preserve"> stands, and the decisions </w:t>
            </w:r>
            <w:r w:rsidR="00847538">
              <w:rPr>
                <w:sz w:val="18"/>
                <w:szCs w:val="18"/>
              </w:rPr>
              <w:t>and filings</w:t>
            </w:r>
            <w:r w:rsidR="0097019A">
              <w:rPr>
                <w:sz w:val="18"/>
                <w:szCs w:val="18"/>
              </w:rPr>
              <w:t xml:space="preserve"> the SCC has made in that proceeding to date</w:t>
            </w:r>
            <w:r>
              <w:rPr>
                <w:sz w:val="18"/>
                <w:szCs w:val="18"/>
              </w:rPr>
              <w:t>.</w:t>
            </w:r>
          </w:p>
          <w:p w14:paraId="4F6A73BC" w14:textId="77777777" w:rsidR="005E4F0B" w:rsidRDefault="005E4F0B" w:rsidP="004A44DF">
            <w:pPr>
              <w:pStyle w:val="TableParagraph"/>
              <w:keepLines/>
              <w:widowControl/>
              <w:rPr>
                <w:sz w:val="18"/>
                <w:szCs w:val="18"/>
              </w:rPr>
            </w:pPr>
          </w:p>
          <w:p w14:paraId="2366C193" w14:textId="79EABEA1" w:rsidR="002A4F52" w:rsidRDefault="00167F4E" w:rsidP="004A44DF">
            <w:pPr>
              <w:pStyle w:val="TableParagraph"/>
              <w:keepLines/>
              <w:widowControl/>
              <w:rPr>
                <w:sz w:val="18"/>
                <w:szCs w:val="18"/>
              </w:rPr>
            </w:pPr>
            <w:r>
              <w:rPr>
                <w:sz w:val="18"/>
                <w:szCs w:val="18"/>
              </w:rPr>
              <w:t>Based on RMI’s interpretation of the</w:t>
            </w:r>
            <w:r w:rsidR="004A44DF" w:rsidRPr="568F973C">
              <w:rPr>
                <w:sz w:val="18"/>
                <w:szCs w:val="18"/>
              </w:rPr>
              <w:t xml:space="preserve"> </w:t>
            </w:r>
            <w:r>
              <w:rPr>
                <w:sz w:val="18"/>
                <w:szCs w:val="18"/>
              </w:rPr>
              <w:t>SCC staff’s August 2024 report,</w:t>
            </w:r>
            <w:r w:rsidR="004A44DF" w:rsidRPr="568F973C">
              <w:rPr>
                <w:sz w:val="18"/>
                <w:szCs w:val="18"/>
              </w:rPr>
              <w:t xml:space="preserve"> </w:t>
            </w:r>
            <w:r w:rsidR="004A44DF" w:rsidRPr="568F973C">
              <w:rPr>
                <w:sz w:val="18"/>
                <w:szCs w:val="18"/>
              </w:rPr>
              <w:t>SCC’s October 2024 order,</w:t>
            </w:r>
            <w:r w:rsidR="004A44DF" w:rsidRPr="568F973C">
              <w:rPr>
                <w:sz w:val="18"/>
                <w:szCs w:val="18"/>
              </w:rPr>
              <w:t xml:space="preserve"> </w:t>
            </w:r>
            <w:r>
              <w:rPr>
                <w:sz w:val="18"/>
                <w:szCs w:val="18"/>
              </w:rPr>
              <w:t xml:space="preserve">and the SCC staff’s </w:t>
            </w:r>
            <w:r w:rsidR="00F54D2F">
              <w:rPr>
                <w:sz w:val="18"/>
                <w:szCs w:val="18"/>
              </w:rPr>
              <w:t xml:space="preserve">March 2025 draft proposed </w:t>
            </w:r>
            <w:proofErr w:type="spellStart"/>
            <w:proofErr w:type="gramStart"/>
            <w:r w:rsidR="00F54D2F">
              <w:rPr>
                <w:sz w:val="18"/>
                <w:szCs w:val="18"/>
              </w:rPr>
              <w:t>rules,</w:t>
            </w:r>
            <w:r w:rsidR="004A44DF" w:rsidRPr="568F973C">
              <w:rPr>
                <w:sz w:val="18"/>
                <w:szCs w:val="18"/>
              </w:rPr>
              <w:t>the</w:t>
            </w:r>
            <w:proofErr w:type="spellEnd"/>
            <w:proofErr w:type="gramEnd"/>
            <w:r w:rsidR="004A44DF" w:rsidRPr="568F973C">
              <w:rPr>
                <w:sz w:val="18"/>
                <w:szCs w:val="18"/>
              </w:rPr>
              <w:t xml:space="preserve"> SCC</w:t>
            </w:r>
            <w:r w:rsidR="00F54D2F">
              <w:rPr>
                <w:sz w:val="18"/>
                <w:szCs w:val="18"/>
              </w:rPr>
              <w:t xml:space="preserve"> will employ</w:t>
            </w:r>
            <w:r w:rsidR="004A44DF" w:rsidRPr="568F973C">
              <w:rPr>
                <w:sz w:val="18"/>
                <w:szCs w:val="18"/>
              </w:rPr>
              <w:t xml:space="preserve"> </w:t>
            </w:r>
            <w:r w:rsidR="004A44DF" w:rsidRPr="568F973C">
              <w:rPr>
                <w:sz w:val="18"/>
                <w:szCs w:val="18"/>
              </w:rPr>
              <w:t xml:space="preserve">an implementation approach </w:t>
            </w:r>
            <w:r w:rsidR="0059501D">
              <w:rPr>
                <w:sz w:val="18"/>
                <w:szCs w:val="18"/>
              </w:rPr>
              <w:t xml:space="preserve">for the ROE adjustment mechanisms (referred to as “scorecard metrics” in the proceeding) </w:t>
            </w:r>
            <w:r w:rsidR="004A44DF" w:rsidRPr="568F973C">
              <w:rPr>
                <w:sz w:val="18"/>
                <w:szCs w:val="18"/>
              </w:rPr>
              <w:t xml:space="preserve">that differs from industry best practice implementation of PIMs in two </w:t>
            </w:r>
            <w:proofErr w:type="gramStart"/>
            <w:r w:rsidR="004A44DF" w:rsidRPr="568F973C">
              <w:rPr>
                <w:sz w:val="18"/>
                <w:szCs w:val="18"/>
              </w:rPr>
              <w:t>key ways</w:t>
            </w:r>
            <w:proofErr w:type="gramEnd"/>
            <w:r w:rsidR="006F5333">
              <w:rPr>
                <w:sz w:val="18"/>
                <w:szCs w:val="18"/>
              </w:rPr>
              <w:t>:</w:t>
            </w:r>
            <w:r w:rsidR="004A44DF" w:rsidRPr="568F973C">
              <w:rPr>
                <w:sz w:val="18"/>
                <w:szCs w:val="18"/>
              </w:rPr>
              <w:t xml:space="preserve"> </w:t>
            </w:r>
          </w:p>
          <w:p w14:paraId="677F240B" w14:textId="77777777" w:rsidR="00514259" w:rsidRDefault="00514259" w:rsidP="004A44DF">
            <w:pPr>
              <w:pStyle w:val="TableParagraph"/>
              <w:keepLines/>
              <w:widowControl/>
              <w:rPr>
                <w:sz w:val="18"/>
                <w:szCs w:val="18"/>
              </w:rPr>
            </w:pPr>
          </w:p>
          <w:p w14:paraId="187B6413" w14:textId="6EFC78C4" w:rsidR="002A4F52" w:rsidRDefault="000208F0" w:rsidP="002A4F52">
            <w:pPr>
              <w:pStyle w:val="TableParagraph"/>
              <w:keepLines/>
              <w:widowControl/>
              <w:numPr>
                <w:ilvl w:val="0"/>
                <w:numId w:val="13"/>
              </w:numPr>
              <w:rPr>
                <w:sz w:val="18"/>
                <w:szCs w:val="18"/>
              </w:rPr>
            </w:pPr>
            <w:r>
              <w:rPr>
                <w:sz w:val="18"/>
                <w:szCs w:val="18"/>
              </w:rPr>
              <w:t>Virginia’s s</w:t>
            </w:r>
            <w:r w:rsidR="00517D48">
              <w:rPr>
                <w:sz w:val="18"/>
                <w:szCs w:val="18"/>
              </w:rPr>
              <w:t>corecard metrics do not have prescribed targets (</w:t>
            </w:r>
            <w:r>
              <w:rPr>
                <w:sz w:val="18"/>
                <w:szCs w:val="18"/>
              </w:rPr>
              <w:t>referred to as</w:t>
            </w:r>
            <w:r w:rsidR="00517D48">
              <w:rPr>
                <w:sz w:val="18"/>
                <w:szCs w:val="18"/>
              </w:rPr>
              <w:t xml:space="preserve"> “benchmarks</w:t>
            </w:r>
            <w:r>
              <w:rPr>
                <w:sz w:val="18"/>
                <w:szCs w:val="18"/>
              </w:rPr>
              <w:t xml:space="preserve"> in the proceeding</w:t>
            </w:r>
            <w:r w:rsidR="00517D48">
              <w:rPr>
                <w:sz w:val="18"/>
                <w:szCs w:val="18"/>
              </w:rPr>
              <w:t>)</w:t>
            </w:r>
            <w:r w:rsidR="00C72188">
              <w:rPr>
                <w:sz w:val="18"/>
                <w:szCs w:val="18"/>
              </w:rPr>
              <w:t xml:space="preserve"> and incentive values</w:t>
            </w:r>
            <w:r w:rsidR="005571C6">
              <w:rPr>
                <w:sz w:val="18"/>
                <w:szCs w:val="18"/>
              </w:rPr>
              <w:t>.</w:t>
            </w:r>
          </w:p>
          <w:p w14:paraId="68128F38" w14:textId="39734261" w:rsidR="007B531A" w:rsidRDefault="007B531A" w:rsidP="005571C6">
            <w:pPr>
              <w:pStyle w:val="TableParagraph"/>
              <w:keepLines/>
              <w:widowControl/>
              <w:numPr>
                <w:ilvl w:val="0"/>
                <w:numId w:val="13"/>
              </w:numPr>
              <w:rPr>
                <w:sz w:val="18"/>
                <w:szCs w:val="18"/>
              </w:rPr>
            </w:pPr>
            <w:r>
              <w:rPr>
                <w:sz w:val="18"/>
                <w:szCs w:val="18"/>
              </w:rPr>
              <w:t xml:space="preserve">The incentive </w:t>
            </w:r>
            <w:r w:rsidR="00364DA6">
              <w:rPr>
                <w:sz w:val="18"/>
                <w:szCs w:val="18"/>
              </w:rPr>
              <w:t xml:space="preserve">earned by the utility for its performance will be determined </w:t>
            </w:r>
            <w:r w:rsidR="00962DC7">
              <w:rPr>
                <w:sz w:val="18"/>
                <w:szCs w:val="18"/>
              </w:rPr>
              <w:t xml:space="preserve">in a </w:t>
            </w:r>
            <w:r w:rsidR="00364DA6">
              <w:rPr>
                <w:sz w:val="18"/>
                <w:szCs w:val="18"/>
              </w:rPr>
              <w:t>non-formulaic</w:t>
            </w:r>
            <w:r w:rsidR="00962DC7">
              <w:rPr>
                <w:sz w:val="18"/>
                <w:szCs w:val="18"/>
              </w:rPr>
              <w:t xml:space="preserve"> manner</w:t>
            </w:r>
            <w:r w:rsidR="00364DA6">
              <w:rPr>
                <w:sz w:val="18"/>
                <w:szCs w:val="18"/>
              </w:rPr>
              <w:t xml:space="preserve"> at the time when </w:t>
            </w:r>
            <w:r w:rsidR="005A728D">
              <w:rPr>
                <w:sz w:val="18"/>
                <w:szCs w:val="18"/>
              </w:rPr>
              <w:t xml:space="preserve">utility performance data is reported, </w:t>
            </w:r>
            <w:r w:rsidR="00962DC7">
              <w:rPr>
                <w:sz w:val="18"/>
                <w:szCs w:val="18"/>
              </w:rPr>
              <w:t xml:space="preserve">presumably reflecting on the utility’s performance against </w:t>
            </w:r>
            <w:r w:rsidR="006F5333">
              <w:rPr>
                <w:sz w:val="18"/>
                <w:szCs w:val="18"/>
              </w:rPr>
              <w:t xml:space="preserve">the portfolio of all </w:t>
            </w:r>
            <w:proofErr w:type="gramStart"/>
            <w:r w:rsidR="006F5333">
              <w:rPr>
                <w:sz w:val="18"/>
                <w:szCs w:val="18"/>
              </w:rPr>
              <w:t>11</w:t>
            </w:r>
            <w:r w:rsidR="00962DC7">
              <w:rPr>
                <w:sz w:val="18"/>
                <w:szCs w:val="18"/>
              </w:rPr>
              <w:t xml:space="preserve"> scorecard</w:t>
            </w:r>
            <w:proofErr w:type="gramEnd"/>
            <w:r w:rsidR="00962DC7">
              <w:rPr>
                <w:sz w:val="18"/>
                <w:szCs w:val="18"/>
              </w:rPr>
              <w:t xml:space="preserve"> metrics</w:t>
            </w:r>
            <w:r w:rsidR="005571C6">
              <w:rPr>
                <w:sz w:val="18"/>
                <w:szCs w:val="18"/>
              </w:rPr>
              <w:t>.</w:t>
            </w:r>
          </w:p>
          <w:p w14:paraId="19DF3C34" w14:textId="77777777" w:rsidR="002A4F52" w:rsidRDefault="002A4F52" w:rsidP="004A44DF">
            <w:pPr>
              <w:pStyle w:val="TableParagraph"/>
              <w:keepLines/>
              <w:widowControl/>
              <w:rPr>
                <w:sz w:val="18"/>
                <w:szCs w:val="18"/>
              </w:rPr>
            </w:pPr>
          </w:p>
          <w:p w14:paraId="04973DF6" w14:textId="23FC6020" w:rsidR="004A44DF" w:rsidRDefault="00200947" w:rsidP="004A44DF">
            <w:pPr>
              <w:pStyle w:val="TableParagraph"/>
              <w:keepLines/>
              <w:widowControl/>
              <w:rPr>
                <w:sz w:val="18"/>
                <w:szCs w:val="18"/>
              </w:rPr>
            </w:pPr>
            <w:r>
              <w:rPr>
                <w:sz w:val="18"/>
                <w:szCs w:val="18"/>
              </w:rPr>
              <w:t>To elaborate on these differences</w:t>
            </w:r>
            <w:r w:rsidR="004A44DF" w:rsidRPr="568F973C">
              <w:rPr>
                <w:sz w:val="18"/>
                <w:szCs w:val="18"/>
              </w:rPr>
              <w:t xml:space="preserve">, </w:t>
            </w:r>
            <w:r w:rsidR="001A68C9">
              <w:rPr>
                <w:sz w:val="18"/>
                <w:szCs w:val="18"/>
              </w:rPr>
              <w:t>it appears that</w:t>
            </w:r>
            <w:r w:rsidR="004A44DF" w:rsidRPr="568F973C">
              <w:rPr>
                <w:sz w:val="18"/>
                <w:szCs w:val="18"/>
              </w:rPr>
              <w:t xml:space="preserve"> benchmarks for scorecard metrics</w:t>
            </w:r>
            <w:r w:rsidR="004A44DF" w:rsidRPr="568F973C">
              <w:rPr>
                <w:sz w:val="18"/>
                <w:szCs w:val="18"/>
              </w:rPr>
              <w:t xml:space="preserve"> </w:t>
            </w:r>
            <w:r w:rsidR="00A97325">
              <w:rPr>
                <w:sz w:val="18"/>
                <w:szCs w:val="18"/>
              </w:rPr>
              <w:t>will be set</w:t>
            </w:r>
            <w:r w:rsidR="00856576">
              <w:rPr>
                <w:sz w:val="18"/>
                <w:szCs w:val="18"/>
              </w:rPr>
              <w:t>,</w:t>
            </w:r>
            <w:r w:rsidR="004A44DF" w:rsidRPr="568F973C">
              <w:rPr>
                <w:sz w:val="18"/>
                <w:szCs w:val="18"/>
              </w:rPr>
              <w:t xml:space="preserve"> retrospectively</w:t>
            </w:r>
            <w:r w:rsidR="00856576">
              <w:rPr>
                <w:sz w:val="18"/>
                <w:szCs w:val="18"/>
              </w:rPr>
              <w:t>, and by the utility</w:t>
            </w:r>
            <w:r w:rsidR="004A44DF" w:rsidRPr="568F973C">
              <w:rPr>
                <w:sz w:val="18"/>
                <w:szCs w:val="18"/>
              </w:rPr>
              <w:t xml:space="preserve">. </w:t>
            </w:r>
            <w:r w:rsidR="00190AD7">
              <w:rPr>
                <w:sz w:val="18"/>
                <w:szCs w:val="18"/>
              </w:rPr>
              <w:t>In the</w:t>
            </w:r>
            <w:r w:rsidR="00190AD7" w:rsidRPr="568F973C">
              <w:rPr>
                <w:sz w:val="18"/>
                <w:szCs w:val="18"/>
              </w:rPr>
              <w:t xml:space="preserve"> </w:t>
            </w:r>
            <w:r w:rsidR="004A44DF" w:rsidRPr="568F973C">
              <w:rPr>
                <w:sz w:val="18"/>
                <w:szCs w:val="18"/>
              </w:rPr>
              <w:t>proposed</w:t>
            </w:r>
            <w:r w:rsidR="00190AD7">
              <w:rPr>
                <w:sz w:val="18"/>
                <w:szCs w:val="18"/>
              </w:rPr>
              <w:t xml:space="preserve"> rules submitted</w:t>
            </w:r>
            <w:r w:rsidR="004A44DF" w:rsidRPr="568F973C">
              <w:rPr>
                <w:sz w:val="18"/>
                <w:szCs w:val="18"/>
              </w:rPr>
              <w:t xml:space="preserve"> by SCC Staff, a utility will file its performance against </w:t>
            </w:r>
            <w:r w:rsidR="00EF7326">
              <w:rPr>
                <w:sz w:val="18"/>
                <w:szCs w:val="18"/>
              </w:rPr>
              <w:t>11</w:t>
            </w:r>
            <w:r w:rsidR="004A44DF" w:rsidRPr="568F973C">
              <w:rPr>
                <w:sz w:val="18"/>
                <w:szCs w:val="18"/>
              </w:rPr>
              <w:t xml:space="preserve"> scorecard metrics for a historical benchmark period </w:t>
            </w:r>
            <w:proofErr w:type="gramStart"/>
            <w:r w:rsidR="004A44DF" w:rsidRPr="568F973C">
              <w:rPr>
                <w:sz w:val="18"/>
                <w:szCs w:val="18"/>
              </w:rPr>
              <w:t>at the same time that</w:t>
            </w:r>
            <w:proofErr w:type="gramEnd"/>
            <w:r w:rsidR="004A44DF" w:rsidRPr="568F973C">
              <w:rPr>
                <w:sz w:val="18"/>
                <w:szCs w:val="18"/>
              </w:rPr>
              <w:t xml:space="preserve"> it would also submit an industry benchmark for comparison to its own performance (in other words, a target). Th</w:t>
            </w:r>
            <w:r w:rsidR="00587542">
              <w:rPr>
                <w:sz w:val="18"/>
                <w:szCs w:val="18"/>
              </w:rPr>
              <w:t xml:space="preserve">e drawback of this approach </w:t>
            </w:r>
            <w:r w:rsidR="004A44DF" w:rsidRPr="568F973C">
              <w:rPr>
                <w:sz w:val="18"/>
                <w:szCs w:val="18"/>
              </w:rPr>
              <w:t xml:space="preserve">is </w:t>
            </w:r>
            <w:r w:rsidR="00587542">
              <w:rPr>
                <w:sz w:val="18"/>
                <w:szCs w:val="18"/>
              </w:rPr>
              <w:t>that it might</w:t>
            </w:r>
            <w:r w:rsidR="004A44DF" w:rsidRPr="568F973C">
              <w:rPr>
                <w:sz w:val="18"/>
                <w:szCs w:val="18"/>
              </w:rPr>
              <w:t xml:space="preserve"> </w:t>
            </w:r>
            <w:r w:rsidR="004A44DF" w:rsidRPr="568F973C">
              <w:rPr>
                <w:sz w:val="18"/>
                <w:szCs w:val="18"/>
              </w:rPr>
              <w:t>allow gaming</w:t>
            </w:r>
            <w:r w:rsidR="00587542">
              <w:rPr>
                <w:sz w:val="18"/>
                <w:szCs w:val="18"/>
              </w:rPr>
              <w:t xml:space="preserve">. For example, </w:t>
            </w:r>
            <w:r w:rsidR="004A44DF" w:rsidRPr="568F973C">
              <w:rPr>
                <w:sz w:val="18"/>
                <w:szCs w:val="18"/>
              </w:rPr>
              <w:t xml:space="preserve">the utility could selectively submit data from the industry that would make its </w:t>
            </w:r>
            <w:r w:rsidR="00587542">
              <w:rPr>
                <w:sz w:val="18"/>
                <w:szCs w:val="18"/>
              </w:rPr>
              <w:t xml:space="preserve">own </w:t>
            </w:r>
            <w:r w:rsidR="004A44DF" w:rsidRPr="568F973C">
              <w:rPr>
                <w:sz w:val="18"/>
                <w:szCs w:val="18"/>
              </w:rPr>
              <w:t xml:space="preserve">performance </w:t>
            </w:r>
            <w:r w:rsidR="00587542">
              <w:rPr>
                <w:sz w:val="18"/>
                <w:szCs w:val="18"/>
              </w:rPr>
              <w:t xml:space="preserve">against all 11 scorecard metrics </w:t>
            </w:r>
            <w:r w:rsidR="004A44DF" w:rsidRPr="568F973C">
              <w:rPr>
                <w:sz w:val="18"/>
                <w:szCs w:val="18"/>
              </w:rPr>
              <w:t xml:space="preserve">look superior to increase the likelihood of receiving the maximum possible reward of +50bps.The effect of utility gaming could lead to a potential negative impact on </w:t>
            </w:r>
            <w:r w:rsidR="004A44DF" w:rsidRPr="568F973C">
              <w:rPr>
                <w:b/>
                <w:bCs/>
                <w:sz w:val="18"/>
                <w:szCs w:val="18"/>
              </w:rPr>
              <w:t>affordability</w:t>
            </w:r>
            <w:r w:rsidR="004A44DF" w:rsidRPr="568F973C">
              <w:rPr>
                <w:sz w:val="18"/>
                <w:szCs w:val="18"/>
              </w:rPr>
              <w:t xml:space="preserve"> for ratepayers, particularly if the utility’s performance is not providing equal or higher benefits that the monetary value of the incentive. </w:t>
            </w:r>
            <w:r w:rsidR="008F0533">
              <w:rPr>
                <w:sz w:val="18"/>
                <w:szCs w:val="18"/>
              </w:rPr>
              <w:t xml:space="preserve">In addition to gaming risk, </w:t>
            </w:r>
            <w:r w:rsidR="00F45ACC">
              <w:rPr>
                <w:sz w:val="18"/>
                <w:szCs w:val="18"/>
              </w:rPr>
              <w:t>i</w:t>
            </w:r>
            <w:r w:rsidR="001A01DB">
              <w:rPr>
                <w:sz w:val="18"/>
                <w:szCs w:val="18"/>
              </w:rPr>
              <w:t xml:space="preserve">ndustry best practice is to establish clear targets </w:t>
            </w:r>
            <w:r w:rsidR="00545C05">
              <w:rPr>
                <w:sz w:val="18"/>
                <w:szCs w:val="18"/>
              </w:rPr>
              <w:t xml:space="preserve">for </w:t>
            </w:r>
            <w:r w:rsidR="00287BB6">
              <w:rPr>
                <w:sz w:val="18"/>
                <w:szCs w:val="18"/>
              </w:rPr>
              <w:t xml:space="preserve">a PIM prior to the period of performance </w:t>
            </w:r>
            <w:r w:rsidR="0002695C">
              <w:rPr>
                <w:sz w:val="18"/>
                <w:szCs w:val="18"/>
              </w:rPr>
              <w:t>(i.e., the period of time in which the utility’s performance will be measured</w:t>
            </w:r>
            <w:r w:rsidR="00AB7D1E">
              <w:rPr>
                <w:sz w:val="18"/>
                <w:szCs w:val="18"/>
              </w:rPr>
              <w:t xml:space="preserve"> and compared against </w:t>
            </w:r>
            <w:r w:rsidR="00983639">
              <w:rPr>
                <w:sz w:val="18"/>
                <w:szCs w:val="18"/>
              </w:rPr>
              <w:t>the target</w:t>
            </w:r>
            <w:r w:rsidR="002178F3">
              <w:rPr>
                <w:sz w:val="18"/>
                <w:szCs w:val="18"/>
              </w:rPr>
              <w:t>)</w:t>
            </w:r>
            <w:r w:rsidR="00AB1881">
              <w:rPr>
                <w:sz w:val="18"/>
                <w:szCs w:val="18"/>
              </w:rPr>
              <w:t xml:space="preserve"> so that the utility knows the standard by which it will be measured against during a forthcoming period of performance, and can plan its resources accordingly to try to improve its performance to meet the desired targets</w:t>
            </w:r>
            <w:r w:rsidR="0002695C">
              <w:rPr>
                <w:sz w:val="18"/>
                <w:szCs w:val="18"/>
              </w:rPr>
              <w:t xml:space="preserve">. </w:t>
            </w:r>
            <w:r w:rsidR="00983639">
              <w:rPr>
                <w:sz w:val="18"/>
                <w:szCs w:val="18"/>
              </w:rPr>
              <w:t>RMI is aware of no</w:t>
            </w:r>
            <w:r w:rsidR="004A44DF" w:rsidRPr="568F973C">
              <w:rPr>
                <w:sz w:val="18"/>
                <w:szCs w:val="18"/>
              </w:rPr>
              <w:t xml:space="preserve"> other jurisdictions for utilities to lack clarity on the target or benchmark for which its performance will be compared prior to the performance period. </w:t>
            </w:r>
          </w:p>
          <w:p w14:paraId="3930B892" w14:textId="77777777" w:rsidR="004A44DF" w:rsidRDefault="004A44DF" w:rsidP="004A44DF">
            <w:pPr>
              <w:pStyle w:val="TableParagraph"/>
              <w:keepLines/>
              <w:widowControl/>
              <w:rPr>
                <w:sz w:val="18"/>
                <w:szCs w:val="18"/>
              </w:rPr>
            </w:pPr>
          </w:p>
          <w:p w14:paraId="1D258757" w14:textId="22903FC1" w:rsidR="004A44DF" w:rsidRDefault="007D207F" w:rsidP="004A44DF">
            <w:pPr>
              <w:pStyle w:val="TableParagraph"/>
              <w:keepLines/>
              <w:widowControl/>
              <w:rPr>
                <w:sz w:val="18"/>
                <w:szCs w:val="18"/>
              </w:rPr>
            </w:pPr>
            <w:r>
              <w:rPr>
                <w:sz w:val="18"/>
                <w:szCs w:val="18"/>
              </w:rPr>
              <w:t>To the s</w:t>
            </w:r>
            <w:r w:rsidR="004A44DF" w:rsidRPr="74556521">
              <w:rPr>
                <w:sz w:val="18"/>
                <w:szCs w:val="18"/>
              </w:rPr>
              <w:t>econd</w:t>
            </w:r>
            <w:r>
              <w:rPr>
                <w:sz w:val="18"/>
                <w:szCs w:val="18"/>
              </w:rPr>
              <w:t xml:space="preserve"> key difference</w:t>
            </w:r>
            <w:r w:rsidR="004A44DF" w:rsidRPr="74556521">
              <w:rPr>
                <w:sz w:val="18"/>
                <w:szCs w:val="18"/>
              </w:rPr>
              <w:t xml:space="preserve">, the incentive value for each scorecard metric will remain unprescribed until after the period of performance. </w:t>
            </w:r>
            <w:r>
              <w:rPr>
                <w:sz w:val="18"/>
                <w:szCs w:val="18"/>
              </w:rPr>
              <w:t>This approach is based on</w:t>
            </w:r>
            <w:r w:rsidR="004A44DF" w:rsidRPr="74556521">
              <w:rPr>
                <w:sz w:val="18"/>
                <w:szCs w:val="18"/>
              </w:rPr>
              <w:t xml:space="preserve"> precedent of ROE </w:t>
            </w:r>
            <w:r w:rsidR="003E00F3">
              <w:rPr>
                <w:sz w:val="18"/>
                <w:szCs w:val="18"/>
              </w:rPr>
              <w:t>adjustment</w:t>
            </w:r>
            <w:r w:rsidR="003E00F3" w:rsidRPr="74556521">
              <w:rPr>
                <w:sz w:val="18"/>
                <w:szCs w:val="18"/>
              </w:rPr>
              <w:t xml:space="preserve"> </w:t>
            </w:r>
            <w:r w:rsidR="004A44DF" w:rsidRPr="74556521">
              <w:rPr>
                <w:sz w:val="18"/>
                <w:szCs w:val="18"/>
              </w:rPr>
              <w:t>mechanisms in Virginia prior to 2015</w:t>
            </w:r>
            <w:r>
              <w:rPr>
                <w:sz w:val="18"/>
                <w:szCs w:val="18"/>
              </w:rPr>
              <w:t>.</w:t>
            </w:r>
            <w:r w:rsidR="004A44DF" w:rsidRPr="74556521">
              <w:rPr>
                <w:sz w:val="18"/>
                <w:szCs w:val="18"/>
              </w:rPr>
              <w:t xml:space="preserve"> </w:t>
            </w:r>
            <w:r>
              <w:rPr>
                <w:sz w:val="18"/>
                <w:szCs w:val="18"/>
              </w:rPr>
              <w:t>To RMI’s understanding</w:t>
            </w:r>
            <w:r w:rsidR="004A44DF" w:rsidRPr="74556521">
              <w:rPr>
                <w:sz w:val="18"/>
                <w:szCs w:val="18"/>
              </w:rPr>
              <w:t xml:space="preserve">, </w:t>
            </w:r>
            <w:r w:rsidR="004A44DF" w:rsidRPr="74556521">
              <w:rPr>
                <w:sz w:val="18"/>
                <w:szCs w:val="18"/>
              </w:rPr>
              <w:t xml:space="preserve">the incentive values associated with </w:t>
            </w:r>
            <w:r w:rsidR="000C5206">
              <w:rPr>
                <w:sz w:val="18"/>
                <w:szCs w:val="18"/>
              </w:rPr>
              <w:t xml:space="preserve">a utility’s performance against a </w:t>
            </w:r>
            <w:r w:rsidR="004A44DF" w:rsidRPr="74556521">
              <w:rPr>
                <w:sz w:val="18"/>
                <w:szCs w:val="18"/>
              </w:rPr>
              <w:t>scorecard metric established in PUR-2023-00210 will be left to the SCC discretion after the period of performance. Industry best practice</w:t>
            </w:r>
            <w:r w:rsidR="004A44DF" w:rsidRPr="74556521" w:rsidDel="00B16C0C">
              <w:rPr>
                <w:sz w:val="18"/>
                <w:szCs w:val="18"/>
              </w:rPr>
              <w:t xml:space="preserve"> </w:t>
            </w:r>
            <w:r w:rsidR="004A44DF" w:rsidRPr="74556521">
              <w:rPr>
                <w:sz w:val="18"/>
                <w:szCs w:val="18"/>
              </w:rPr>
              <w:t>is to pre-determine an incentive amount for achieving a preset target for each metric. This gives the utility helpful information in advance</w:t>
            </w:r>
            <w:r w:rsidR="004E754B">
              <w:rPr>
                <w:sz w:val="18"/>
                <w:szCs w:val="18"/>
              </w:rPr>
              <w:t xml:space="preserve"> of the period of performance</w:t>
            </w:r>
            <w:r w:rsidR="004A44DF" w:rsidRPr="74556521">
              <w:rPr>
                <w:sz w:val="18"/>
                <w:szCs w:val="18"/>
              </w:rPr>
              <w:t xml:space="preserve"> to inform </w:t>
            </w:r>
            <w:r w:rsidR="004E754B">
              <w:rPr>
                <w:sz w:val="18"/>
                <w:szCs w:val="18"/>
              </w:rPr>
              <w:t xml:space="preserve">how </w:t>
            </w:r>
            <w:r w:rsidR="00D85CAA">
              <w:rPr>
                <w:sz w:val="18"/>
                <w:szCs w:val="18"/>
              </w:rPr>
              <w:t>cost-efficient</w:t>
            </w:r>
            <w:r w:rsidR="004E754B">
              <w:rPr>
                <w:sz w:val="18"/>
                <w:szCs w:val="18"/>
              </w:rPr>
              <w:t xml:space="preserve"> </w:t>
            </w:r>
            <w:r w:rsidR="004A44DF" w:rsidRPr="74556521">
              <w:rPr>
                <w:sz w:val="18"/>
                <w:szCs w:val="18"/>
              </w:rPr>
              <w:t>allocation</w:t>
            </w:r>
            <w:r w:rsidR="004A44DF" w:rsidRPr="74556521" w:rsidDel="004E754B">
              <w:rPr>
                <w:sz w:val="18"/>
                <w:szCs w:val="18"/>
              </w:rPr>
              <w:t xml:space="preserve"> of</w:t>
            </w:r>
            <w:r w:rsidR="004A44DF" w:rsidRPr="74556521">
              <w:rPr>
                <w:sz w:val="18"/>
                <w:szCs w:val="18"/>
              </w:rPr>
              <w:t xml:space="preserve"> resources during the performance period </w:t>
            </w:r>
            <w:r w:rsidR="004E754B">
              <w:rPr>
                <w:sz w:val="18"/>
                <w:szCs w:val="18"/>
              </w:rPr>
              <w:t>to</w:t>
            </w:r>
            <w:r w:rsidR="004A44DF" w:rsidRPr="74556521">
              <w:rPr>
                <w:sz w:val="18"/>
                <w:szCs w:val="18"/>
              </w:rPr>
              <w:t xml:space="preserve"> prioritize </w:t>
            </w:r>
            <w:r w:rsidR="00D85CAA">
              <w:rPr>
                <w:sz w:val="18"/>
                <w:szCs w:val="18"/>
              </w:rPr>
              <w:t xml:space="preserve">achieving </w:t>
            </w:r>
            <w:r w:rsidR="00C57F6A">
              <w:rPr>
                <w:sz w:val="18"/>
                <w:szCs w:val="18"/>
              </w:rPr>
              <w:t xml:space="preserve">a certain target </w:t>
            </w:r>
            <w:proofErr w:type="gramStart"/>
            <w:r w:rsidR="00C57F6A">
              <w:rPr>
                <w:sz w:val="18"/>
                <w:szCs w:val="18"/>
              </w:rPr>
              <w:t>in order to</w:t>
            </w:r>
            <w:proofErr w:type="gramEnd"/>
            <w:r w:rsidR="00C57F6A">
              <w:rPr>
                <w:sz w:val="18"/>
                <w:szCs w:val="18"/>
              </w:rPr>
              <w:t xml:space="preserve"> </w:t>
            </w:r>
            <w:r w:rsidR="004A44DF" w:rsidRPr="74556521">
              <w:rPr>
                <w:sz w:val="18"/>
                <w:szCs w:val="18"/>
              </w:rPr>
              <w:t>earn a</w:t>
            </w:r>
            <w:r w:rsidR="00C57F6A">
              <w:rPr>
                <w:sz w:val="18"/>
                <w:szCs w:val="18"/>
              </w:rPr>
              <w:t xml:space="preserve"> known</w:t>
            </w:r>
            <w:r w:rsidR="004A44DF" w:rsidRPr="74556521">
              <w:rPr>
                <w:sz w:val="18"/>
                <w:szCs w:val="18"/>
              </w:rPr>
              <w:t xml:space="preserve"> reward or </w:t>
            </w:r>
            <w:r w:rsidR="00C57F6A">
              <w:rPr>
                <w:sz w:val="18"/>
                <w:szCs w:val="18"/>
              </w:rPr>
              <w:t>avoid</w:t>
            </w:r>
            <w:r w:rsidR="00C57F6A" w:rsidRPr="74556521">
              <w:rPr>
                <w:sz w:val="18"/>
                <w:szCs w:val="18"/>
              </w:rPr>
              <w:t xml:space="preserve"> </w:t>
            </w:r>
            <w:r w:rsidR="004A44DF" w:rsidRPr="74556521">
              <w:rPr>
                <w:sz w:val="18"/>
                <w:szCs w:val="18"/>
              </w:rPr>
              <w:t>a penalty.</w:t>
            </w:r>
            <w:r w:rsidR="004A44DF" w:rsidRPr="74556521">
              <w:rPr>
                <w:sz w:val="18"/>
                <w:szCs w:val="18"/>
              </w:rPr>
              <w:t xml:space="preserve"> </w:t>
            </w:r>
            <w:r w:rsidR="007C5350">
              <w:rPr>
                <w:sz w:val="18"/>
                <w:szCs w:val="18"/>
              </w:rPr>
              <w:t xml:space="preserve">For example, a utility who knows the performance target and incentive value for </w:t>
            </w:r>
            <w:r w:rsidR="00B568F3">
              <w:rPr>
                <w:sz w:val="18"/>
                <w:szCs w:val="18"/>
              </w:rPr>
              <w:t xml:space="preserve">a PIM can evaluate the cost of achieving the target to earn the reward. It can decide to not </w:t>
            </w:r>
            <w:r w:rsidR="00524EF7">
              <w:rPr>
                <w:sz w:val="18"/>
                <w:szCs w:val="18"/>
              </w:rPr>
              <w:t xml:space="preserve">attempt to achieve the target in cases where the cost of achieving the PIM’s target </w:t>
            </w:r>
            <w:proofErr w:type="gramStart"/>
            <w:r w:rsidR="00524EF7">
              <w:rPr>
                <w:sz w:val="18"/>
                <w:szCs w:val="18"/>
              </w:rPr>
              <w:t>are</w:t>
            </w:r>
            <w:proofErr w:type="gramEnd"/>
            <w:r w:rsidR="00524EF7">
              <w:rPr>
                <w:sz w:val="18"/>
                <w:szCs w:val="18"/>
              </w:rPr>
              <w:t xml:space="preserve"> larger than the reward.</w:t>
            </w:r>
            <w:r w:rsidR="004A44DF" w:rsidRPr="74556521">
              <w:rPr>
                <w:sz w:val="18"/>
                <w:szCs w:val="18"/>
              </w:rPr>
              <w:t xml:space="preserve"> Ambiguity about how incentive value will be assigned across the </w:t>
            </w:r>
            <w:proofErr w:type="gramStart"/>
            <w:r w:rsidR="004A44DF" w:rsidRPr="74556521">
              <w:rPr>
                <w:sz w:val="18"/>
                <w:szCs w:val="18"/>
              </w:rPr>
              <w:t>eleven scorecard</w:t>
            </w:r>
            <w:proofErr w:type="gramEnd"/>
            <w:r w:rsidR="004A44DF" w:rsidRPr="74556521">
              <w:rPr>
                <w:sz w:val="18"/>
                <w:szCs w:val="18"/>
              </w:rPr>
              <w:t xml:space="preserve"> metrics may </w:t>
            </w:r>
            <w:r w:rsidR="004A0B32">
              <w:rPr>
                <w:sz w:val="18"/>
                <w:szCs w:val="18"/>
              </w:rPr>
              <w:t>impede</w:t>
            </w:r>
            <w:r w:rsidR="004A44DF" w:rsidRPr="74556521">
              <w:rPr>
                <w:sz w:val="18"/>
                <w:szCs w:val="18"/>
              </w:rPr>
              <w:t xml:space="preserve"> </w:t>
            </w:r>
            <w:r w:rsidR="00EF72EC">
              <w:rPr>
                <w:sz w:val="18"/>
                <w:szCs w:val="18"/>
              </w:rPr>
              <w:t xml:space="preserve">the performance area of </w:t>
            </w:r>
            <w:r w:rsidR="00EF72EC" w:rsidRPr="005571C6">
              <w:rPr>
                <w:b/>
                <w:bCs/>
                <w:sz w:val="18"/>
                <w:szCs w:val="18"/>
              </w:rPr>
              <w:t xml:space="preserve">cost-efficient </w:t>
            </w:r>
            <w:r w:rsidR="004A44DF" w:rsidRPr="005571C6">
              <w:rPr>
                <w:b/>
                <w:sz w:val="18"/>
                <w:szCs w:val="18"/>
              </w:rPr>
              <w:t xml:space="preserve">utility </w:t>
            </w:r>
            <w:r w:rsidR="00EF72EC" w:rsidRPr="005571C6">
              <w:rPr>
                <w:b/>
                <w:bCs/>
                <w:sz w:val="18"/>
                <w:szCs w:val="18"/>
              </w:rPr>
              <w:t>investment and operations</w:t>
            </w:r>
            <w:r w:rsidR="00EF72EC">
              <w:rPr>
                <w:sz w:val="18"/>
                <w:szCs w:val="18"/>
              </w:rPr>
              <w:t xml:space="preserve"> </w:t>
            </w:r>
            <w:r w:rsidR="004A44DF" w:rsidRPr="74556521">
              <w:rPr>
                <w:sz w:val="18"/>
                <w:szCs w:val="18"/>
              </w:rPr>
              <w:t>resource and effort across the areas measured by scorecard metrics.</w:t>
            </w:r>
          </w:p>
          <w:p w14:paraId="24E93FBA" w14:textId="77777777" w:rsidR="003449F8" w:rsidRDefault="003449F8" w:rsidP="00196D82">
            <w:pPr>
              <w:pStyle w:val="TableParagraph"/>
              <w:keepLines/>
              <w:widowControl/>
              <w:rPr>
                <w:sz w:val="18"/>
                <w:szCs w:val="18"/>
              </w:rPr>
            </w:pPr>
          </w:p>
          <w:p w14:paraId="7A1C6EEC" w14:textId="2613D21D" w:rsidR="00C6552F" w:rsidRDefault="00194DBD" w:rsidP="00196D82">
            <w:pPr>
              <w:pStyle w:val="TableParagraph"/>
              <w:keepLines/>
              <w:widowControl/>
              <w:rPr>
                <w:sz w:val="18"/>
                <w:szCs w:val="18"/>
              </w:rPr>
            </w:pPr>
            <w:r>
              <w:rPr>
                <w:sz w:val="18"/>
                <w:szCs w:val="18"/>
              </w:rPr>
              <w:t>The SCC staff proposed a</w:t>
            </w:r>
            <w:r w:rsidR="00196D82" w:rsidRPr="001968A5">
              <w:rPr>
                <w:sz w:val="18"/>
                <w:szCs w:val="18"/>
              </w:rPr>
              <w:t xml:space="preserve"> set of </w:t>
            </w:r>
            <w:r w:rsidR="00F3165D">
              <w:rPr>
                <w:sz w:val="18"/>
                <w:szCs w:val="18"/>
              </w:rPr>
              <w:t>additional</w:t>
            </w:r>
            <w:r w:rsidR="00F3165D" w:rsidRPr="001968A5">
              <w:rPr>
                <w:sz w:val="18"/>
                <w:szCs w:val="18"/>
              </w:rPr>
              <w:t xml:space="preserve"> </w:t>
            </w:r>
            <w:r w:rsidR="00196D82" w:rsidRPr="001968A5">
              <w:rPr>
                <w:sz w:val="18"/>
                <w:szCs w:val="18"/>
              </w:rPr>
              <w:t xml:space="preserve">metrics </w:t>
            </w:r>
            <w:r w:rsidR="00F3165D">
              <w:rPr>
                <w:sz w:val="18"/>
                <w:szCs w:val="18"/>
              </w:rPr>
              <w:t>that will be tracked and reported for informational purposes only</w:t>
            </w:r>
            <w:r w:rsidR="001E09C2">
              <w:rPr>
                <w:sz w:val="18"/>
                <w:szCs w:val="18"/>
              </w:rPr>
              <w:t xml:space="preserve"> (commonly referred to in industry as reporting metrics). The</w:t>
            </w:r>
            <w:r w:rsidR="005426CB">
              <w:rPr>
                <w:sz w:val="18"/>
                <w:szCs w:val="18"/>
              </w:rPr>
              <w:t xml:space="preserve"> reporting metrics </w:t>
            </w:r>
            <w:r w:rsidR="00AC3973">
              <w:rPr>
                <w:sz w:val="18"/>
                <w:szCs w:val="18"/>
              </w:rPr>
              <w:t xml:space="preserve">that will be </w:t>
            </w:r>
            <w:r w:rsidR="004B5B37">
              <w:rPr>
                <w:sz w:val="18"/>
                <w:szCs w:val="18"/>
              </w:rPr>
              <w:t>included in Schedule 49 were informed by a narrow focus</w:t>
            </w:r>
            <w:r w:rsidR="00A62AE1">
              <w:rPr>
                <w:sz w:val="18"/>
                <w:szCs w:val="18"/>
              </w:rPr>
              <w:t xml:space="preserve"> </w:t>
            </w:r>
            <w:r w:rsidR="004B5B37">
              <w:rPr>
                <w:sz w:val="18"/>
                <w:szCs w:val="18"/>
              </w:rPr>
              <w:t>on the four outcomes of</w:t>
            </w:r>
            <w:r w:rsidR="00196D82">
              <w:rPr>
                <w:sz w:val="18"/>
                <w:szCs w:val="18"/>
              </w:rPr>
              <w:t xml:space="preserve"> </w:t>
            </w:r>
            <w:r w:rsidR="00196D82" w:rsidRPr="005571C6">
              <w:rPr>
                <w:b/>
                <w:sz w:val="18"/>
                <w:szCs w:val="18"/>
              </w:rPr>
              <w:t>reliability</w:t>
            </w:r>
            <w:r w:rsidR="00196D82">
              <w:rPr>
                <w:sz w:val="18"/>
                <w:szCs w:val="18"/>
              </w:rPr>
              <w:t xml:space="preserve">, </w:t>
            </w:r>
            <w:r w:rsidR="00196D82" w:rsidRPr="00A62AE1">
              <w:rPr>
                <w:b/>
                <w:bCs/>
                <w:sz w:val="18"/>
                <w:szCs w:val="18"/>
              </w:rPr>
              <w:t>generating plant performance</w:t>
            </w:r>
            <w:r w:rsidR="00196D82">
              <w:rPr>
                <w:sz w:val="18"/>
                <w:szCs w:val="18"/>
              </w:rPr>
              <w:t xml:space="preserve">, </w:t>
            </w:r>
            <w:r w:rsidR="00196D82" w:rsidRPr="00A62AE1">
              <w:rPr>
                <w:b/>
                <w:bCs/>
                <w:sz w:val="18"/>
                <w:szCs w:val="18"/>
              </w:rPr>
              <w:t>customer service</w:t>
            </w:r>
            <w:r w:rsidR="00196D82">
              <w:rPr>
                <w:sz w:val="18"/>
                <w:szCs w:val="18"/>
              </w:rPr>
              <w:t xml:space="preserve">, and </w:t>
            </w:r>
            <w:r w:rsidR="00196D82" w:rsidRPr="00A62AE1">
              <w:rPr>
                <w:b/>
                <w:bCs/>
                <w:sz w:val="18"/>
                <w:szCs w:val="18"/>
              </w:rPr>
              <w:t>operating</w:t>
            </w:r>
            <w:r w:rsidR="00196D82">
              <w:rPr>
                <w:sz w:val="18"/>
                <w:szCs w:val="18"/>
              </w:rPr>
              <w:t xml:space="preserve"> </w:t>
            </w:r>
            <w:r w:rsidR="00196D82" w:rsidRPr="00A62AE1">
              <w:rPr>
                <w:b/>
                <w:bCs/>
                <w:sz w:val="18"/>
                <w:szCs w:val="18"/>
              </w:rPr>
              <w:t>efficiency</w:t>
            </w:r>
            <w:r w:rsidR="004B5B37">
              <w:rPr>
                <w:sz w:val="18"/>
                <w:szCs w:val="18"/>
              </w:rPr>
              <w:t xml:space="preserve">, as defined in the authorizing </w:t>
            </w:r>
            <w:proofErr w:type="spellStart"/>
            <w:r w:rsidR="004B5B37">
              <w:rPr>
                <w:sz w:val="18"/>
                <w:szCs w:val="18"/>
              </w:rPr>
              <w:t>statutue</w:t>
            </w:r>
            <w:proofErr w:type="spellEnd"/>
            <w:r w:rsidR="004B5B37">
              <w:rPr>
                <w:sz w:val="18"/>
                <w:szCs w:val="18"/>
              </w:rPr>
              <w:t xml:space="preserve">. However, several of the reporting metrics proposed by the SCC staff also </w:t>
            </w:r>
            <w:r w:rsidR="00196D82" w:rsidRPr="001968A5">
              <w:rPr>
                <w:sz w:val="18"/>
                <w:szCs w:val="18"/>
              </w:rPr>
              <w:t xml:space="preserve">support </w:t>
            </w:r>
            <w:r w:rsidR="00196D82">
              <w:rPr>
                <w:sz w:val="18"/>
                <w:szCs w:val="18"/>
              </w:rPr>
              <w:t xml:space="preserve">a few </w:t>
            </w:r>
            <w:r w:rsidR="00196D82" w:rsidRPr="001968A5">
              <w:rPr>
                <w:sz w:val="18"/>
                <w:szCs w:val="18"/>
              </w:rPr>
              <w:t xml:space="preserve">key performance areas, such as </w:t>
            </w:r>
            <w:r w:rsidR="00196D82" w:rsidRPr="00496D7E">
              <w:rPr>
                <w:b/>
                <w:sz w:val="18"/>
                <w:szCs w:val="18"/>
              </w:rPr>
              <w:t>decarbonization</w:t>
            </w:r>
            <w:r w:rsidR="00196D82" w:rsidRPr="001968A5">
              <w:rPr>
                <w:sz w:val="18"/>
                <w:szCs w:val="18"/>
              </w:rPr>
              <w:t>,</w:t>
            </w:r>
            <w:r w:rsidR="00196D82" w:rsidRPr="001968A5">
              <w:rPr>
                <w:sz w:val="18"/>
                <w:szCs w:val="18"/>
              </w:rPr>
              <w:t xml:space="preserve"> </w:t>
            </w:r>
            <w:r w:rsidR="00DA78B1">
              <w:rPr>
                <w:b/>
                <w:bCs/>
                <w:sz w:val="18"/>
                <w:szCs w:val="18"/>
              </w:rPr>
              <w:t xml:space="preserve">emissions, DER integration, peak demand reductions, and cost-efficient utility </w:t>
            </w:r>
            <w:r w:rsidR="00CA14A5">
              <w:rPr>
                <w:b/>
                <w:bCs/>
                <w:sz w:val="18"/>
                <w:szCs w:val="18"/>
              </w:rPr>
              <w:t xml:space="preserve">investment &amp; </w:t>
            </w:r>
            <w:r w:rsidR="00DA78B1">
              <w:rPr>
                <w:b/>
                <w:bCs/>
                <w:sz w:val="18"/>
                <w:szCs w:val="18"/>
              </w:rPr>
              <w:t>operations</w:t>
            </w:r>
            <w:r w:rsidR="00CA14A5">
              <w:rPr>
                <w:b/>
                <w:bCs/>
                <w:sz w:val="18"/>
                <w:szCs w:val="18"/>
              </w:rPr>
              <w:t xml:space="preserve">. </w:t>
            </w:r>
            <w:r w:rsidR="00AC3973" w:rsidRPr="00496D7E">
              <w:rPr>
                <w:sz w:val="18"/>
                <w:szCs w:val="18"/>
              </w:rPr>
              <w:t>The</w:t>
            </w:r>
            <w:r w:rsidR="00AC3973">
              <w:rPr>
                <w:sz w:val="18"/>
                <w:szCs w:val="18"/>
              </w:rPr>
              <w:t xml:space="preserve"> formalization of these</w:t>
            </w:r>
            <w:r w:rsidR="00AC3973" w:rsidRPr="00496D7E">
              <w:rPr>
                <w:sz w:val="18"/>
                <w:szCs w:val="18"/>
              </w:rPr>
              <w:t xml:space="preserve"> reporting metrics </w:t>
            </w:r>
            <w:proofErr w:type="gramStart"/>
            <w:r w:rsidR="00AC3973" w:rsidRPr="00496D7E">
              <w:rPr>
                <w:sz w:val="18"/>
                <w:szCs w:val="18"/>
              </w:rPr>
              <w:t>represent</w:t>
            </w:r>
            <w:proofErr w:type="gramEnd"/>
            <w:r w:rsidR="00AC3973" w:rsidRPr="00496D7E">
              <w:rPr>
                <w:sz w:val="18"/>
                <w:szCs w:val="18"/>
              </w:rPr>
              <w:t xml:space="preserve"> </w:t>
            </w:r>
            <w:r w:rsidR="00AC3973" w:rsidRPr="001968A5">
              <w:rPr>
                <w:sz w:val="18"/>
                <w:szCs w:val="18"/>
              </w:rPr>
              <w:t>an important step forward in measuring and tracking data related to a broad set of critical performance areas</w:t>
            </w:r>
            <w:r w:rsidR="003B6546">
              <w:rPr>
                <w:sz w:val="18"/>
                <w:szCs w:val="18"/>
              </w:rPr>
              <w:t xml:space="preserve"> for utilities in </w:t>
            </w:r>
            <w:proofErr w:type="gramStart"/>
            <w:r w:rsidR="003B6546">
              <w:rPr>
                <w:sz w:val="18"/>
                <w:szCs w:val="18"/>
              </w:rPr>
              <w:t>Virginia, and</w:t>
            </w:r>
            <w:proofErr w:type="gramEnd"/>
            <w:r w:rsidR="003B6546">
              <w:rPr>
                <w:sz w:val="18"/>
                <w:szCs w:val="18"/>
              </w:rPr>
              <w:t xml:space="preserve"> can pave the way for a more expansive set of PIMs in the future</w:t>
            </w:r>
            <w:r w:rsidR="00AC3973" w:rsidRPr="001968A5">
              <w:rPr>
                <w:sz w:val="18"/>
                <w:szCs w:val="18"/>
              </w:rPr>
              <w:t xml:space="preserve">. </w:t>
            </w:r>
          </w:p>
          <w:p w14:paraId="160B131D" w14:textId="77777777" w:rsidR="00C6552F" w:rsidRDefault="00C6552F" w:rsidP="00196D82">
            <w:pPr>
              <w:pStyle w:val="TableParagraph"/>
              <w:keepLines/>
              <w:widowControl/>
              <w:rPr>
                <w:sz w:val="18"/>
                <w:szCs w:val="18"/>
              </w:rPr>
            </w:pPr>
          </w:p>
          <w:p w14:paraId="290F1C8F" w14:textId="2695608B" w:rsidR="00196D82" w:rsidRPr="001968A5" w:rsidRDefault="00C6552F" w:rsidP="00196D82">
            <w:pPr>
              <w:pStyle w:val="TableParagraph"/>
              <w:keepLines/>
              <w:widowControl/>
              <w:rPr>
                <w:sz w:val="18"/>
                <w:szCs w:val="18"/>
              </w:rPr>
            </w:pPr>
            <w:r w:rsidRPr="0040253E">
              <w:rPr>
                <w:sz w:val="18"/>
                <w:szCs w:val="18"/>
              </w:rPr>
              <w:t>Although the newly proposed metrics are a strong step forward, there may still be gaps in the metrics that are measured</w:t>
            </w:r>
            <w:r w:rsidRPr="0040253E">
              <w:rPr>
                <w:sz w:val="18"/>
                <w:szCs w:val="18"/>
              </w:rPr>
              <w:t xml:space="preserve">, and </w:t>
            </w:r>
            <w:r w:rsidR="00196D82" w:rsidRPr="0040253E">
              <w:rPr>
                <w:sz w:val="18"/>
                <w:szCs w:val="18"/>
              </w:rPr>
              <w:t>there is room for improvement</w:t>
            </w:r>
            <w:r w:rsidR="002C68DF" w:rsidRPr="0040253E">
              <w:rPr>
                <w:sz w:val="18"/>
                <w:szCs w:val="18"/>
              </w:rPr>
              <w:t xml:space="preserve"> </w:t>
            </w:r>
            <w:r w:rsidR="00AC3973" w:rsidRPr="0040253E">
              <w:rPr>
                <w:sz w:val="18"/>
                <w:szCs w:val="18"/>
              </w:rPr>
              <w:t>by</w:t>
            </w:r>
            <w:r w:rsidR="002C68DF" w:rsidRPr="0040253E">
              <w:rPr>
                <w:sz w:val="18"/>
                <w:szCs w:val="18"/>
              </w:rPr>
              <w:t xml:space="preserve"> expa</w:t>
            </w:r>
            <w:r w:rsidR="00AC3973" w:rsidRPr="0040253E">
              <w:rPr>
                <w:sz w:val="18"/>
                <w:szCs w:val="18"/>
              </w:rPr>
              <w:t xml:space="preserve">nding </w:t>
            </w:r>
            <w:r w:rsidR="002C68DF" w:rsidRPr="0040253E">
              <w:rPr>
                <w:sz w:val="18"/>
                <w:szCs w:val="18"/>
              </w:rPr>
              <w:t xml:space="preserve">the reporting metrics </w:t>
            </w:r>
            <w:r w:rsidR="00AC3973" w:rsidRPr="0040253E">
              <w:rPr>
                <w:sz w:val="18"/>
                <w:szCs w:val="18"/>
              </w:rPr>
              <w:t xml:space="preserve">portfolio </w:t>
            </w:r>
            <w:r w:rsidR="002C68DF" w:rsidRPr="0040253E">
              <w:rPr>
                <w:sz w:val="18"/>
                <w:szCs w:val="18"/>
              </w:rPr>
              <w:t xml:space="preserve">to </w:t>
            </w:r>
            <w:r w:rsidR="00AC3973" w:rsidRPr="0040253E">
              <w:rPr>
                <w:sz w:val="18"/>
                <w:szCs w:val="18"/>
              </w:rPr>
              <w:t>include metrics that</w:t>
            </w:r>
            <w:r w:rsidR="002C68DF" w:rsidRPr="0040253E">
              <w:rPr>
                <w:sz w:val="18"/>
                <w:szCs w:val="18"/>
              </w:rPr>
              <w:t xml:space="preserve"> more holistically </w:t>
            </w:r>
            <w:r w:rsidR="00AC3973" w:rsidRPr="0040253E">
              <w:rPr>
                <w:sz w:val="18"/>
                <w:szCs w:val="18"/>
              </w:rPr>
              <w:t>address the 13</w:t>
            </w:r>
            <w:r w:rsidR="002C68DF" w:rsidRPr="0040253E">
              <w:rPr>
                <w:sz w:val="18"/>
                <w:szCs w:val="18"/>
              </w:rPr>
              <w:t xml:space="preserve"> performance areas </w:t>
            </w:r>
            <w:r w:rsidR="00AC3973" w:rsidRPr="0040253E">
              <w:rPr>
                <w:sz w:val="18"/>
                <w:szCs w:val="18"/>
              </w:rPr>
              <w:t>of HJR No. 30/ SJR No.47</w:t>
            </w:r>
            <w:r w:rsidR="00196D82" w:rsidRPr="0040253E">
              <w:rPr>
                <w:sz w:val="18"/>
                <w:szCs w:val="18"/>
              </w:rPr>
              <w:t xml:space="preserve">. </w:t>
            </w:r>
            <w:r w:rsidR="004F78F0" w:rsidRPr="0040253E">
              <w:rPr>
                <w:sz w:val="18"/>
                <w:szCs w:val="18"/>
              </w:rPr>
              <w:t xml:space="preserve">For instance, within the </w:t>
            </w:r>
            <w:r w:rsidR="007577D6">
              <w:rPr>
                <w:b/>
                <w:sz w:val="18"/>
                <w:szCs w:val="18"/>
              </w:rPr>
              <w:t>c</w:t>
            </w:r>
            <w:r w:rsidR="004F78F0" w:rsidRPr="0040253E">
              <w:rPr>
                <w:b/>
                <w:sz w:val="18"/>
                <w:szCs w:val="18"/>
              </w:rPr>
              <w:t xml:space="preserve">ustomer </w:t>
            </w:r>
            <w:r w:rsidR="007577D6">
              <w:rPr>
                <w:b/>
                <w:sz w:val="18"/>
                <w:szCs w:val="18"/>
              </w:rPr>
              <w:t>se</w:t>
            </w:r>
            <w:r w:rsidR="004F78F0" w:rsidRPr="0040253E">
              <w:rPr>
                <w:b/>
                <w:sz w:val="18"/>
                <w:szCs w:val="18"/>
              </w:rPr>
              <w:t>rvice</w:t>
            </w:r>
            <w:r w:rsidR="004F78F0" w:rsidRPr="0040253E">
              <w:rPr>
                <w:sz w:val="18"/>
                <w:szCs w:val="18"/>
              </w:rPr>
              <w:t xml:space="preserve"> category, other jurisdictions have implemented</w:t>
            </w:r>
            <w:r w:rsidR="001003FC" w:rsidRPr="0040253E">
              <w:rPr>
                <w:sz w:val="18"/>
                <w:szCs w:val="18"/>
              </w:rPr>
              <w:t xml:space="preserve"> additional performance categories (e.g.</w:t>
            </w:r>
            <w:r w:rsidR="001003FC" w:rsidRPr="0040253E">
              <w:rPr>
                <w:sz w:val="18"/>
                <w:szCs w:val="18"/>
              </w:rPr>
              <w:t xml:space="preserve"> abandoned call rates, first-call resolution rates, customer satisfaction, call center experience, and customer enrollment in programs</w:t>
            </w:r>
            <w:r w:rsidR="001003FC" w:rsidRPr="0040253E">
              <w:rPr>
                <w:sz w:val="18"/>
                <w:szCs w:val="18"/>
              </w:rPr>
              <w:t>)</w:t>
            </w:r>
            <w:r w:rsidR="004F78F0" w:rsidRPr="0040253E">
              <w:rPr>
                <w:sz w:val="18"/>
                <w:szCs w:val="18"/>
              </w:rPr>
              <w:t>, in addition to traditional metrics (e.g. average speed of answering calls to a call center)</w:t>
            </w:r>
            <w:r w:rsidR="001003FC" w:rsidRPr="0040253E">
              <w:rPr>
                <w:sz w:val="18"/>
                <w:szCs w:val="18"/>
              </w:rPr>
              <w:t>.</w:t>
            </w:r>
            <w:r w:rsidR="004F78F0" w:rsidRPr="0040253E">
              <w:rPr>
                <w:sz w:val="18"/>
                <w:szCs w:val="18"/>
              </w:rPr>
              <w:t xml:space="preserve"> </w:t>
            </w:r>
            <w:r w:rsidR="001003FC" w:rsidRPr="0040253E">
              <w:rPr>
                <w:sz w:val="18"/>
                <w:szCs w:val="18"/>
              </w:rPr>
              <w:t>Other jurisdictions have a</w:t>
            </w:r>
            <w:r w:rsidR="0040253E" w:rsidRPr="0040253E">
              <w:rPr>
                <w:sz w:val="18"/>
                <w:szCs w:val="18"/>
              </w:rPr>
              <w:t>lso broadened the scope of the</w:t>
            </w:r>
            <w:r w:rsidR="004F78F0" w:rsidRPr="0040253E">
              <w:rPr>
                <w:sz w:val="18"/>
                <w:szCs w:val="18"/>
              </w:rPr>
              <w:t xml:space="preserve"> </w:t>
            </w:r>
            <w:r w:rsidR="004F78F0" w:rsidRPr="007577D6">
              <w:rPr>
                <w:b/>
                <w:bCs/>
                <w:sz w:val="18"/>
                <w:szCs w:val="18"/>
              </w:rPr>
              <w:t>affordability</w:t>
            </w:r>
            <w:r w:rsidR="004F78F0" w:rsidRPr="0040253E">
              <w:rPr>
                <w:sz w:val="18"/>
                <w:szCs w:val="18"/>
              </w:rPr>
              <w:t xml:space="preserve"> metrics </w:t>
            </w:r>
            <w:r w:rsidR="0040253E" w:rsidRPr="0040253E">
              <w:rPr>
                <w:sz w:val="18"/>
                <w:szCs w:val="18"/>
              </w:rPr>
              <w:t>that are tracked to</w:t>
            </w:r>
            <w:r w:rsidR="004F78F0" w:rsidRPr="0040253E">
              <w:rPr>
                <w:sz w:val="18"/>
                <w:szCs w:val="18"/>
              </w:rPr>
              <w:t xml:space="preserve"> include </w:t>
            </w:r>
            <w:r w:rsidR="0040253E" w:rsidRPr="0040253E">
              <w:rPr>
                <w:sz w:val="18"/>
                <w:szCs w:val="18"/>
              </w:rPr>
              <w:t xml:space="preserve">metrics such as </w:t>
            </w:r>
            <w:r w:rsidR="004F78F0" w:rsidRPr="0040253E">
              <w:rPr>
                <w:sz w:val="18"/>
                <w:szCs w:val="18"/>
              </w:rPr>
              <w:t>low and moderate-income household energy burden (i.e. bills as a percentage of household income).</w:t>
            </w:r>
          </w:p>
          <w:p w14:paraId="43C760D5" w14:textId="77777777" w:rsidR="00196D82" w:rsidRDefault="00196D82" w:rsidP="00196D82">
            <w:pPr>
              <w:pStyle w:val="TableParagraph"/>
              <w:keepLines/>
              <w:widowControl/>
              <w:rPr>
                <w:sz w:val="18"/>
                <w:szCs w:val="20"/>
              </w:rPr>
            </w:pPr>
          </w:p>
          <w:p w14:paraId="209B0B3F" w14:textId="0F160075" w:rsidR="00196D82" w:rsidRDefault="00196D82" w:rsidP="00196D82">
            <w:pPr>
              <w:pStyle w:val="TableParagraph"/>
              <w:keepLines/>
              <w:widowControl/>
              <w:rPr>
                <w:sz w:val="18"/>
                <w:szCs w:val="18"/>
              </w:rPr>
            </w:pPr>
            <w:r w:rsidRPr="001968A5">
              <w:rPr>
                <w:sz w:val="18"/>
                <w:szCs w:val="18"/>
              </w:rPr>
              <w:t xml:space="preserve">Reported metrics can be particularly helpful </w:t>
            </w:r>
            <w:r w:rsidR="001D78ED">
              <w:rPr>
                <w:sz w:val="18"/>
                <w:szCs w:val="18"/>
              </w:rPr>
              <w:t xml:space="preserve">for establishing a utility performance </w:t>
            </w:r>
            <w:proofErr w:type="gramStart"/>
            <w:r w:rsidR="001D78ED">
              <w:rPr>
                <w:sz w:val="18"/>
                <w:szCs w:val="18"/>
              </w:rPr>
              <w:t>baseline, and</w:t>
            </w:r>
            <w:proofErr w:type="gramEnd"/>
            <w:r w:rsidR="001D78ED">
              <w:rPr>
                <w:sz w:val="18"/>
                <w:szCs w:val="18"/>
              </w:rPr>
              <w:t xml:space="preserve"> can be useful in the future for setting</w:t>
            </w:r>
            <w:r w:rsidRPr="001968A5">
              <w:rPr>
                <w:sz w:val="18"/>
                <w:szCs w:val="18"/>
              </w:rPr>
              <w:t xml:space="preserve"> a target or benchmark </w:t>
            </w:r>
            <w:r w:rsidR="001D78ED">
              <w:rPr>
                <w:sz w:val="18"/>
                <w:szCs w:val="18"/>
              </w:rPr>
              <w:t>when elevating a metric from something that is only reported, to a PIM</w:t>
            </w:r>
            <w:r w:rsidRPr="001968A5">
              <w:rPr>
                <w:sz w:val="18"/>
                <w:szCs w:val="18"/>
              </w:rPr>
              <w:t xml:space="preserve">. </w:t>
            </w:r>
          </w:p>
          <w:p w14:paraId="770B4441" w14:textId="77777777" w:rsidR="00196D82" w:rsidRDefault="00196D82" w:rsidP="00196D82">
            <w:pPr>
              <w:pStyle w:val="TableParagraph"/>
              <w:keepLines/>
              <w:widowControl/>
              <w:rPr>
                <w:sz w:val="18"/>
                <w:szCs w:val="18"/>
              </w:rPr>
            </w:pPr>
          </w:p>
          <w:p w14:paraId="06465FB0" w14:textId="27276087" w:rsidR="00196D82" w:rsidRPr="001968A5" w:rsidRDefault="00196D82" w:rsidP="00196D82">
            <w:pPr>
              <w:pStyle w:val="TableParagraph"/>
              <w:keepLines/>
              <w:widowControl/>
              <w:rPr>
                <w:sz w:val="18"/>
                <w:szCs w:val="18"/>
              </w:rPr>
            </w:pPr>
            <w:r w:rsidRPr="00AC7DA4">
              <w:rPr>
                <w:sz w:val="18"/>
                <w:szCs w:val="18"/>
              </w:rPr>
              <w:t xml:space="preserve">In addition, the set </w:t>
            </w:r>
            <w:r w:rsidR="00FF281B" w:rsidRPr="00AC7DA4">
              <w:rPr>
                <w:sz w:val="18"/>
                <w:szCs w:val="18"/>
              </w:rPr>
              <w:t xml:space="preserve">reporting </w:t>
            </w:r>
            <w:r w:rsidRPr="00AC7DA4">
              <w:rPr>
                <w:sz w:val="18"/>
                <w:szCs w:val="18"/>
              </w:rPr>
              <w:t xml:space="preserve">metrics </w:t>
            </w:r>
            <w:r w:rsidR="00FF281B" w:rsidRPr="00AC7DA4">
              <w:rPr>
                <w:sz w:val="18"/>
                <w:szCs w:val="18"/>
              </w:rPr>
              <w:t xml:space="preserve">will be reviewed as </w:t>
            </w:r>
            <w:r w:rsidRPr="00AC7DA4">
              <w:rPr>
                <w:sz w:val="18"/>
                <w:szCs w:val="18"/>
              </w:rPr>
              <w:t>part of the biennial review</w:t>
            </w:r>
            <w:r w:rsidR="00FF281B" w:rsidRPr="00AC7DA4">
              <w:rPr>
                <w:sz w:val="18"/>
                <w:szCs w:val="18"/>
              </w:rPr>
              <w:t xml:space="preserve"> through utility reporting in accordance with Schedule 49</w:t>
            </w:r>
            <w:r w:rsidRPr="00AC7DA4">
              <w:rPr>
                <w:sz w:val="18"/>
                <w:szCs w:val="18"/>
              </w:rPr>
              <w:t xml:space="preserve">. Some metrics may benefit from a more frequent reporting timeframe (e.g. quarterly updates). Moreover, we see a gap in terms of the process of publicly reporting on and providing access to performance data. </w:t>
            </w:r>
            <w:r w:rsidR="00FF281B" w:rsidRPr="00AC7DA4">
              <w:rPr>
                <w:sz w:val="18"/>
                <w:szCs w:val="18"/>
              </w:rPr>
              <w:t>It is industry best practice to make utility p</w:t>
            </w:r>
            <w:r w:rsidRPr="00AC7DA4">
              <w:rPr>
                <w:sz w:val="18"/>
                <w:szCs w:val="18"/>
              </w:rPr>
              <w:t xml:space="preserve">erformance data accessible and easily interpretable to the </w:t>
            </w:r>
            <w:proofErr w:type="gramStart"/>
            <w:r w:rsidRPr="00AC7DA4">
              <w:rPr>
                <w:sz w:val="18"/>
                <w:szCs w:val="18"/>
              </w:rPr>
              <w:t>general public</w:t>
            </w:r>
            <w:proofErr w:type="gramEnd"/>
            <w:r w:rsidRPr="00AC7DA4">
              <w:rPr>
                <w:sz w:val="18"/>
                <w:szCs w:val="18"/>
              </w:rPr>
              <w:t xml:space="preserve">. The Hawaiian Electric’s performance scorecards and metrics </w:t>
            </w:r>
            <w:hyperlink r:id="rId12" w:history="1">
              <w:r w:rsidRPr="00AC7DA4">
                <w:rPr>
                  <w:rStyle w:val="Hyperlink"/>
                  <w:sz w:val="18"/>
                  <w:szCs w:val="18"/>
                </w:rPr>
                <w:t>website</w:t>
              </w:r>
            </w:hyperlink>
            <w:r w:rsidRPr="00AC7DA4">
              <w:rPr>
                <w:sz w:val="18"/>
                <w:szCs w:val="18"/>
              </w:rPr>
              <w:t xml:space="preserve"> is an example of transparent data dashboards</w:t>
            </w:r>
            <w:r w:rsidR="00FF281B" w:rsidRPr="00AC7DA4">
              <w:rPr>
                <w:sz w:val="18"/>
                <w:szCs w:val="18"/>
              </w:rPr>
              <w:t xml:space="preserve"> that could be employed, in addition to the Schedule 49 reporting process</w:t>
            </w:r>
            <w:r w:rsidRPr="00AC7DA4">
              <w:rPr>
                <w:sz w:val="18"/>
                <w:szCs w:val="18"/>
              </w:rPr>
              <w:t>. There may also be an opportunity to develop more granular understanding of the impact of various performance categories, e.g. by analyzing performance at the census tract level.</w:t>
            </w:r>
          </w:p>
          <w:p w14:paraId="69DE5580" w14:textId="77777777" w:rsidR="00196D82" w:rsidRPr="001968A5" w:rsidRDefault="00196D82" w:rsidP="00196D82">
            <w:pPr>
              <w:pStyle w:val="TableParagraph"/>
              <w:keepLines/>
              <w:widowControl/>
              <w:rPr>
                <w:sz w:val="18"/>
                <w:szCs w:val="18"/>
              </w:rPr>
            </w:pPr>
          </w:p>
          <w:p w14:paraId="1FA97C06" w14:textId="3B3532C7" w:rsidR="00196D82" w:rsidRDefault="00F63403" w:rsidP="00196D82">
            <w:pPr>
              <w:pStyle w:val="TableParagraph"/>
              <w:keepLines/>
              <w:widowControl/>
              <w:rPr>
                <w:sz w:val="18"/>
                <w:szCs w:val="20"/>
              </w:rPr>
            </w:pPr>
            <w:r>
              <w:rPr>
                <w:sz w:val="18"/>
                <w:szCs w:val="20"/>
              </w:rPr>
              <w:t xml:space="preserve">States </w:t>
            </w:r>
            <w:r>
              <w:rPr>
                <w:sz w:val="18"/>
                <w:szCs w:val="20"/>
              </w:rPr>
              <w:t xml:space="preserve">with ROE-based PIMs include </w:t>
            </w:r>
            <w:r w:rsidRPr="005E2F22">
              <w:rPr>
                <w:b/>
                <w:bCs/>
                <w:sz w:val="18"/>
                <w:szCs w:val="20"/>
              </w:rPr>
              <w:t>New York</w:t>
            </w:r>
            <w:r>
              <w:rPr>
                <w:sz w:val="18"/>
                <w:szCs w:val="20"/>
              </w:rPr>
              <w:t xml:space="preserve">, whose IOUs have shown success with an ROE basis point incentive for achieving energy efficiency savings specifically among low and moderate-income customers. New York also employs ROE-based PIMs for demand response, light-duty vehicle emissions, transportation electrification interconnection timelines, DER </w:t>
            </w:r>
            <w:proofErr w:type="spellStart"/>
            <w:r>
              <w:rPr>
                <w:sz w:val="18"/>
                <w:szCs w:val="20"/>
              </w:rPr>
              <w:t>utilitization</w:t>
            </w:r>
            <w:proofErr w:type="spellEnd"/>
            <w:r>
              <w:rPr>
                <w:sz w:val="18"/>
                <w:szCs w:val="20"/>
              </w:rPr>
              <w:t xml:space="preserve">, and electric peak reduction, among others. </w:t>
            </w:r>
            <w:r w:rsidRPr="00105FFD">
              <w:rPr>
                <w:b/>
                <w:bCs/>
                <w:sz w:val="18"/>
                <w:szCs w:val="20"/>
              </w:rPr>
              <w:t>Illinois</w:t>
            </w:r>
            <w:r>
              <w:rPr>
                <w:sz w:val="18"/>
                <w:szCs w:val="20"/>
              </w:rPr>
              <w:t xml:space="preserve"> also has numerous PIMs informed by ROE basis point values, including peak load reduction; DER interconnection timeliness; as well as SAIDI, SAIFI, CEMI, CELID performance specifically in environmental justice communities.</w:t>
            </w:r>
          </w:p>
          <w:p w14:paraId="2E60583B" w14:textId="77777777" w:rsidR="001F7A79" w:rsidRDefault="001F7A79" w:rsidP="00196D82">
            <w:pPr>
              <w:pStyle w:val="TableParagraph"/>
              <w:keepLines/>
              <w:widowControl/>
              <w:rPr>
                <w:sz w:val="18"/>
                <w:szCs w:val="20"/>
              </w:rPr>
            </w:pPr>
          </w:p>
          <w:p w14:paraId="1AE6AF2F" w14:textId="7C5EAF17" w:rsidR="00FF281B" w:rsidRDefault="001F7A79" w:rsidP="00196D82">
            <w:pPr>
              <w:pStyle w:val="TableParagraph"/>
              <w:keepLines/>
              <w:widowControl/>
              <w:rPr>
                <w:sz w:val="18"/>
                <w:szCs w:val="20"/>
              </w:rPr>
            </w:pPr>
            <w:r w:rsidRPr="001968A5">
              <w:rPr>
                <w:sz w:val="18"/>
                <w:szCs w:val="18"/>
              </w:rPr>
              <w:t xml:space="preserve">By implementing a portfolio of </w:t>
            </w:r>
            <w:r>
              <w:rPr>
                <w:sz w:val="18"/>
                <w:szCs w:val="18"/>
              </w:rPr>
              <w:t>scorecard metrics and reporting metrics</w:t>
            </w:r>
            <w:r w:rsidRPr="001968A5">
              <w:rPr>
                <w:sz w:val="18"/>
                <w:szCs w:val="18"/>
              </w:rPr>
              <w:t xml:space="preserve">, Virginia </w:t>
            </w:r>
            <w:r>
              <w:rPr>
                <w:sz w:val="18"/>
                <w:szCs w:val="18"/>
              </w:rPr>
              <w:t>has made significant progress towards</w:t>
            </w:r>
            <w:r w:rsidRPr="001968A5">
              <w:rPr>
                <w:sz w:val="18"/>
                <w:szCs w:val="18"/>
              </w:rPr>
              <w:t xml:space="preserve"> support</w:t>
            </w:r>
            <w:r>
              <w:rPr>
                <w:sz w:val="18"/>
                <w:szCs w:val="18"/>
              </w:rPr>
              <w:t>ing</w:t>
            </w:r>
            <w:r w:rsidRPr="001968A5">
              <w:rPr>
                <w:sz w:val="18"/>
                <w:szCs w:val="18"/>
              </w:rPr>
              <w:t xml:space="preserve"> </w:t>
            </w:r>
            <w:r>
              <w:rPr>
                <w:sz w:val="18"/>
                <w:szCs w:val="18"/>
              </w:rPr>
              <w:t xml:space="preserve">several of the </w:t>
            </w:r>
            <w:proofErr w:type="spellStart"/>
            <w:r w:rsidRPr="001968A5">
              <w:rPr>
                <w:sz w:val="18"/>
                <w:szCs w:val="18"/>
              </w:rPr>
              <w:t>the</w:t>
            </w:r>
            <w:proofErr w:type="spellEnd"/>
            <w:r w:rsidRPr="001968A5">
              <w:rPr>
                <w:sz w:val="18"/>
                <w:szCs w:val="18"/>
              </w:rPr>
              <w:t xml:space="preserve"> desired regulatory outcomes</w:t>
            </w:r>
            <w:r>
              <w:rPr>
                <w:sz w:val="18"/>
                <w:szCs w:val="18"/>
              </w:rPr>
              <w:t xml:space="preserve"> included in HJR No. 30/ SJR No.47. However, as described above, there is room to better define these mechanisms and align with industry best practice for performance mechanisms</w:t>
            </w:r>
            <w:r w:rsidRPr="001968A5">
              <w:rPr>
                <w:sz w:val="18"/>
                <w:szCs w:val="18"/>
              </w:rPr>
              <w:t>.</w:t>
            </w:r>
          </w:p>
          <w:p w14:paraId="2433D722" w14:textId="46916EE2" w:rsidR="00196D82" w:rsidRPr="001968A5" w:rsidRDefault="00196D82" w:rsidP="00196D82">
            <w:pPr>
              <w:pStyle w:val="TableParagraph"/>
              <w:keepLines/>
              <w:widowControl/>
              <w:rPr>
                <w:sz w:val="18"/>
                <w:szCs w:val="18"/>
              </w:rPr>
            </w:pPr>
          </w:p>
        </w:tc>
      </w:tr>
      <w:tr w:rsidR="00401D23" w:rsidRPr="009E495E" w14:paraId="1471EFFC" w14:textId="77777777" w:rsidTr="65AE7816">
        <w:tc>
          <w:tcPr>
            <w:tcW w:w="1260" w:type="dxa"/>
            <w:vMerge/>
          </w:tcPr>
          <w:p w14:paraId="793746CD" w14:textId="77777777" w:rsidR="00401D23" w:rsidRPr="009E495E" w:rsidRDefault="00401D23" w:rsidP="00936B31">
            <w:pPr>
              <w:pStyle w:val="TableParagraph"/>
              <w:keepLines/>
              <w:widowControl/>
              <w:spacing w:line="268" w:lineRule="auto"/>
              <w:ind w:left="60"/>
              <w:rPr>
                <w:b/>
                <w:spacing w:val="-2"/>
                <w:sz w:val="18"/>
                <w:szCs w:val="20"/>
              </w:rPr>
            </w:pPr>
          </w:p>
        </w:tc>
        <w:tc>
          <w:tcPr>
            <w:tcW w:w="1260" w:type="dxa"/>
          </w:tcPr>
          <w:p w14:paraId="58A41A03" w14:textId="68B4CA94" w:rsidR="00401D23" w:rsidRPr="009E495E" w:rsidRDefault="00401D23" w:rsidP="00936B31">
            <w:pPr>
              <w:pStyle w:val="TableParagraph"/>
              <w:keepLines/>
              <w:widowControl/>
              <w:spacing w:line="207" w:lineRule="exact"/>
              <w:ind w:left="104"/>
              <w:rPr>
                <w:sz w:val="18"/>
                <w:szCs w:val="20"/>
              </w:rPr>
            </w:pPr>
            <w:r w:rsidRPr="009E495E">
              <w:rPr>
                <w:sz w:val="18"/>
                <w:szCs w:val="20"/>
              </w:rPr>
              <w:t>Energy efficiency savings target (ROE adder applied to DSN operating expenses)</w:t>
            </w:r>
          </w:p>
        </w:tc>
        <w:tc>
          <w:tcPr>
            <w:tcW w:w="1170" w:type="dxa"/>
          </w:tcPr>
          <w:p w14:paraId="5B1D3F05" w14:textId="77777777" w:rsidR="00401D23" w:rsidRPr="00693160" w:rsidRDefault="00401D23" w:rsidP="005E261E">
            <w:pPr>
              <w:pStyle w:val="TableParagraph"/>
              <w:keepLines/>
              <w:widowControl/>
              <w:numPr>
                <w:ilvl w:val="0"/>
                <w:numId w:val="10"/>
              </w:numPr>
              <w:ind w:left="144" w:hanging="144"/>
              <w:rPr>
                <w:sz w:val="18"/>
                <w:szCs w:val="18"/>
              </w:rPr>
            </w:pPr>
            <w:r w:rsidRPr="00693160">
              <w:rPr>
                <w:sz w:val="18"/>
                <w:szCs w:val="18"/>
              </w:rPr>
              <w:t>Electricity decarbonization</w:t>
            </w:r>
          </w:p>
          <w:p w14:paraId="1887D0B6" w14:textId="77777777" w:rsidR="00401D23" w:rsidRDefault="00401D23" w:rsidP="005E261E">
            <w:pPr>
              <w:pStyle w:val="TableParagraph"/>
              <w:keepLines/>
              <w:widowControl/>
              <w:numPr>
                <w:ilvl w:val="0"/>
                <w:numId w:val="10"/>
              </w:numPr>
              <w:ind w:left="144" w:hanging="144"/>
              <w:rPr>
                <w:sz w:val="18"/>
                <w:szCs w:val="18"/>
              </w:rPr>
            </w:pPr>
            <w:r w:rsidRPr="00C46D8E">
              <w:rPr>
                <w:sz w:val="18"/>
                <w:szCs w:val="18"/>
              </w:rPr>
              <w:t>Peak demand reductions</w:t>
            </w:r>
          </w:p>
          <w:p w14:paraId="432D6890" w14:textId="5B5AAE3F" w:rsidR="00401D23" w:rsidRPr="003508C8" w:rsidRDefault="00401D23" w:rsidP="005E261E">
            <w:pPr>
              <w:pStyle w:val="TableParagraph"/>
              <w:keepLines/>
              <w:widowControl/>
              <w:numPr>
                <w:ilvl w:val="0"/>
                <w:numId w:val="10"/>
              </w:numPr>
              <w:ind w:left="144" w:hanging="144"/>
              <w:rPr>
                <w:sz w:val="18"/>
                <w:szCs w:val="18"/>
              </w:rPr>
            </w:pPr>
            <w:r w:rsidRPr="003508C8">
              <w:rPr>
                <w:sz w:val="18"/>
                <w:szCs w:val="18"/>
              </w:rPr>
              <w:t>Affordability</w:t>
            </w:r>
          </w:p>
        </w:tc>
        <w:tc>
          <w:tcPr>
            <w:tcW w:w="3060" w:type="dxa"/>
          </w:tcPr>
          <w:p w14:paraId="448D58D9" w14:textId="1D0ADD91" w:rsidR="00171F7C" w:rsidRDefault="00401D23" w:rsidP="00936B31">
            <w:pPr>
              <w:pStyle w:val="TableParagraph"/>
              <w:keepLines/>
              <w:widowControl/>
              <w:rPr>
                <w:sz w:val="18"/>
                <w:szCs w:val="18"/>
              </w:rPr>
            </w:pPr>
            <w:r w:rsidRPr="001968A5">
              <w:rPr>
                <w:sz w:val="18"/>
                <w:szCs w:val="18"/>
              </w:rPr>
              <w:t xml:space="preserve">Virginia has a mandatory Energy Efficiency Resource Standard (EERS) in place, following the passage of the </w:t>
            </w:r>
            <w:r w:rsidRPr="00D65928">
              <w:rPr>
                <w:sz w:val="18"/>
                <w:szCs w:val="18"/>
              </w:rPr>
              <w:t>Virginia Clean Economy Act</w:t>
            </w:r>
            <w:r w:rsidRPr="001968A5">
              <w:rPr>
                <w:sz w:val="18"/>
                <w:szCs w:val="18"/>
              </w:rPr>
              <w:t>.</w:t>
            </w:r>
          </w:p>
          <w:p w14:paraId="60E4411E" w14:textId="77777777" w:rsidR="00171F7C" w:rsidRDefault="00171F7C" w:rsidP="00936B31">
            <w:pPr>
              <w:pStyle w:val="TableParagraph"/>
              <w:keepLines/>
              <w:widowControl/>
              <w:rPr>
                <w:sz w:val="18"/>
                <w:szCs w:val="18"/>
              </w:rPr>
            </w:pPr>
          </w:p>
          <w:p w14:paraId="0B73E901" w14:textId="77777777" w:rsidR="00196D82" w:rsidRDefault="00D629F0" w:rsidP="00196D82">
            <w:pPr>
              <w:pStyle w:val="TableParagraph"/>
              <w:keepLines/>
              <w:widowControl/>
              <w:rPr>
                <w:sz w:val="18"/>
                <w:szCs w:val="18"/>
              </w:rPr>
            </w:pPr>
            <w:r w:rsidRPr="00D65928">
              <w:rPr>
                <w:sz w:val="18"/>
                <w:szCs w:val="18"/>
              </w:rPr>
              <w:t>Utilities can earn an additional 20 basis points for each additional 0.1% in annual savings</w:t>
            </w:r>
            <w:r w:rsidR="009E2A23">
              <w:rPr>
                <w:sz w:val="18"/>
                <w:szCs w:val="18"/>
              </w:rPr>
              <w:t xml:space="preserve"> </w:t>
            </w:r>
            <w:r w:rsidR="009E2A23" w:rsidRPr="00D65928">
              <w:rPr>
                <w:sz w:val="18"/>
                <w:szCs w:val="18"/>
              </w:rPr>
              <w:t>beyond the statutory savings targets</w:t>
            </w:r>
            <w:r w:rsidR="009E2A23">
              <w:rPr>
                <w:sz w:val="18"/>
                <w:szCs w:val="18"/>
              </w:rPr>
              <w:t>.</w:t>
            </w:r>
            <w:r w:rsidR="00401D23" w:rsidRPr="001968A5">
              <w:rPr>
                <w:sz w:val="18"/>
                <w:szCs w:val="18"/>
              </w:rPr>
              <w:t xml:space="preserve"> The SCC </w:t>
            </w:r>
            <w:r w:rsidR="009E2A23">
              <w:rPr>
                <w:sz w:val="18"/>
                <w:szCs w:val="18"/>
              </w:rPr>
              <w:t xml:space="preserve">also </w:t>
            </w:r>
            <w:r w:rsidR="00401D23" w:rsidRPr="001968A5">
              <w:rPr>
                <w:sz w:val="18"/>
                <w:szCs w:val="18"/>
              </w:rPr>
              <w:t>has the authority to deny new CO2-emitting generating facilities if energy savings targets are not met</w:t>
            </w:r>
            <w:r w:rsidR="00341332">
              <w:rPr>
                <w:sz w:val="18"/>
                <w:szCs w:val="18"/>
              </w:rPr>
              <w:t xml:space="preserve"> (</w:t>
            </w:r>
            <w:r w:rsidR="00341332" w:rsidRPr="00341332">
              <w:rPr>
                <w:sz w:val="18"/>
                <w:szCs w:val="18"/>
              </w:rPr>
              <w:t>Va. Code § 56-585.1 A 5 c</w:t>
            </w:r>
            <w:r w:rsidR="00341332">
              <w:rPr>
                <w:sz w:val="18"/>
                <w:szCs w:val="18"/>
              </w:rPr>
              <w:t>)</w:t>
            </w:r>
            <w:r w:rsidR="00401D23" w:rsidRPr="00D65928">
              <w:rPr>
                <w:sz w:val="18"/>
                <w:szCs w:val="18"/>
              </w:rPr>
              <w:t xml:space="preserve">.  </w:t>
            </w:r>
          </w:p>
          <w:p w14:paraId="7AA95C50" w14:textId="77777777" w:rsidR="004A44DF" w:rsidRDefault="004A44DF" w:rsidP="00196D82">
            <w:pPr>
              <w:pStyle w:val="TableParagraph"/>
              <w:keepLines/>
              <w:widowControl/>
              <w:rPr>
                <w:sz w:val="18"/>
                <w:szCs w:val="18"/>
              </w:rPr>
            </w:pPr>
          </w:p>
          <w:p w14:paraId="0EE17BEE" w14:textId="416C7305" w:rsidR="00401D23" w:rsidRPr="00BF0606" w:rsidRDefault="004A44DF" w:rsidP="00936B31">
            <w:pPr>
              <w:pStyle w:val="TableParagraph"/>
              <w:keepLines/>
              <w:widowControl/>
              <w:rPr>
                <w:sz w:val="18"/>
                <w:szCs w:val="18"/>
              </w:rPr>
            </w:pPr>
            <w:r w:rsidRPr="138581D4">
              <w:rPr>
                <w:sz w:val="18"/>
                <w:szCs w:val="18"/>
              </w:rPr>
              <w:t xml:space="preserve">One PIM currently in place adjusts ROE depending on achieved energy efficiency savings. Utilities are allowed to </w:t>
            </w:r>
            <w:r w:rsidRPr="138581D4">
              <w:rPr>
                <w:color w:val="000000" w:themeColor="text1"/>
                <w:sz w:val="18"/>
                <w:szCs w:val="18"/>
              </w:rPr>
              <w:t xml:space="preserve">earn a return on the operating costs associated with their </w:t>
            </w:r>
            <w:r w:rsidRPr="138581D4">
              <w:rPr>
                <w:sz w:val="18"/>
                <w:szCs w:val="18"/>
              </w:rPr>
              <w:t xml:space="preserve">energy efficiency </w:t>
            </w:r>
            <w:r w:rsidRPr="138581D4">
              <w:rPr>
                <w:color w:val="000000" w:themeColor="text1"/>
                <w:sz w:val="18"/>
                <w:szCs w:val="18"/>
              </w:rPr>
              <w:t>programs</w:t>
            </w:r>
            <w:r w:rsidRPr="138581D4">
              <w:rPr>
                <w:sz w:val="18"/>
                <w:szCs w:val="18"/>
              </w:rPr>
              <w:t>, and if they exceed the mandated efficiency targets, the Commission can award an additional 20 basis points for each additional incremental 0.1 percent in annual savings.</w:t>
            </w:r>
          </w:p>
        </w:tc>
        <w:tc>
          <w:tcPr>
            <w:tcW w:w="7830" w:type="dxa"/>
          </w:tcPr>
          <w:p w14:paraId="22D9B867" w14:textId="7E056F19" w:rsidR="005152B0" w:rsidRPr="00123D84" w:rsidRDefault="00401D23" w:rsidP="003475A6">
            <w:pPr>
              <w:pStyle w:val="TableParagraph"/>
              <w:keepLines/>
              <w:widowControl/>
              <w:rPr>
                <w:sz w:val="18"/>
                <w:szCs w:val="18"/>
              </w:rPr>
            </w:pPr>
            <w:r w:rsidRPr="001968A5">
              <w:rPr>
                <w:sz w:val="18"/>
                <w:szCs w:val="18"/>
              </w:rPr>
              <w:t xml:space="preserve">While the SCC can reward utilities for exceeding the EERS targets, there may be opportunities to further incentivize stronger performance and to </w:t>
            </w:r>
            <w:proofErr w:type="spellStart"/>
            <w:r w:rsidRPr="001968A5">
              <w:rPr>
                <w:sz w:val="18"/>
                <w:szCs w:val="18"/>
              </w:rPr>
              <w:t>disincentize</w:t>
            </w:r>
            <w:proofErr w:type="spellEnd"/>
            <w:r w:rsidRPr="001968A5">
              <w:rPr>
                <w:sz w:val="18"/>
                <w:szCs w:val="18"/>
              </w:rPr>
              <w:t xml:space="preserve"> underperformance</w:t>
            </w:r>
            <w:r w:rsidR="00123D84" w:rsidRPr="00123D84">
              <w:rPr>
                <w:sz w:val="18"/>
                <w:szCs w:val="18"/>
              </w:rPr>
              <w:t xml:space="preserve"> with more robust performance incentives</w:t>
            </w:r>
            <w:r w:rsidRPr="00123D84">
              <w:rPr>
                <w:sz w:val="18"/>
                <w:szCs w:val="18"/>
              </w:rPr>
              <w:t>.</w:t>
            </w:r>
            <w:r w:rsidR="00891519" w:rsidRPr="00123D84">
              <w:rPr>
                <w:sz w:val="18"/>
                <w:szCs w:val="18"/>
              </w:rPr>
              <w:t xml:space="preserve"> </w:t>
            </w:r>
            <w:r w:rsidR="00D44DC1" w:rsidRPr="00123D84">
              <w:rPr>
                <w:sz w:val="18"/>
                <w:szCs w:val="18"/>
              </w:rPr>
              <w:t>There remains significant untapped potential to deliver efficiency savings (see PUR-2023-00227).</w:t>
            </w:r>
            <w:r w:rsidR="0062367E" w:rsidRPr="00123D84">
              <w:rPr>
                <w:sz w:val="18"/>
                <w:szCs w:val="18"/>
              </w:rPr>
              <w:t xml:space="preserve"> </w:t>
            </w:r>
            <w:r w:rsidR="0062367E" w:rsidRPr="00123D84">
              <w:rPr>
                <w:sz w:val="18"/>
                <w:szCs w:val="20"/>
              </w:rPr>
              <w:t xml:space="preserve">There may also be an opportunity for cost-effectiveness methodology reform, e.g. including health and safety non-energy benefits within cost-effectiveness tests. </w:t>
            </w:r>
            <w:r w:rsidR="0062367E" w:rsidRPr="00123D84">
              <w:rPr>
                <w:sz w:val="18"/>
                <w:szCs w:val="18"/>
              </w:rPr>
              <w:t>E</w:t>
            </w:r>
            <w:r w:rsidR="00891519" w:rsidRPr="00123D84">
              <w:rPr>
                <w:sz w:val="18"/>
                <w:szCs w:val="20"/>
              </w:rPr>
              <w:t xml:space="preserve">xamples of states with strong </w:t>
            </w:r>
            <w:r w:rsidR="00830085" w:rsidRPr="00123D84">
              <w:rPr>
                <w:sz w:val="18"/>
                <w:szCs w:val="20"/>
              </w:rPr>
              <w:t>energy efficiency</w:t>
            </w:r>
            <w:r w:rsidR="00891519" w:rsidRPr="00123D84">
              <w:rPr>
                <w:sz w:val="18"/>
                <w:szCs w:val="20"/>
              </w:rPr>
              <w:t xml:space="preserve"> PIMs</w:t>
            </w:r>
            <w:r w:rsidR="00830085" w:rsidRPr="00123D84">
              <w:rPr>
                <w:sz w:val="18"/>
                <w:szCs w:val="20"/>
              </w:rPr>
              <w:t xml:space="preserve"> including</w:t>
            </w:r>
            <w:r w:rsidR="002D7682" w:rsidRPr="00123D84">
              <w:rPr>
                <w:sz w:val="18"/>
                <w:szCs w:val="20"/>
              </w:rPr>
              <w:t xml:space="preserve"> </w:t>
            </w:r>
            <w:r w:rsidR="002D7682" w:rsidRPr="00123D84">
              <w:rPr>
                <w:b/>
                <w:bCs/>
                <w:sz w:val="18"/>
                <w:szCs w:val="20"/>
              </w:rPr>
              <w:t>Massachusetts</w:t>
            </w:r>
            <w:r w:rsidR="002D7682" w:rsidRPr="00123D84">
              <w:rPr>
                <w:sz w:val="18"/>
                <w:szCs w:val="20"/>
              </w:rPr>
              <w:t xml:space="preserve">, </w:t>
            </w:r>
            <w:r w:rsidR="002D7682" w:rsidRPr="00123D84">
              <w:rPr>
                <w:b/>
                <w:bCs/>
                <w:sz w:val="18"/>
                <w:szCs w:val="20"/>
              </w:rPr>
              <w:t>New</w:t>
            </w:r>
            <w:r w:rsidR="002D7682" w:rsidRPr="00123D84">
              <w:rPr>
                <w:sz w:val="18"/>
                <w:szCs w:val="20"/>
              </w:rPr>
              <w:t xml:space="preserve"> </w:t>
            </w:r>
            <w:r w:rsidR="002D7682" w:rsidRPr="00123D84">
              <w:rPr>
                <w:b/>
                <w:bCs/>
                <w:sz w:val="18"/>
                <w:szCs w:val="20"/>
              </w:rPr>
              <w:t>York</w:t>
            </w:r>
            <w:r w:rsidR="002D7682" w:rsidRPr="00123D84">
              <w:rPr>
                <w:sz w:val="18"/>
                <w:szCs w:val="20"/>
              </w:rPr>
              <w:t xml:space="preserve">, and </w:t>
            </w:r>
            <w:r w:rsidR="002D7682" w:rsidRPr="00123D84">
              <w:rPr>
                <w:b/>
                <w:bCs/>
                <w:sz w:val="18"/>
                <w:szCs w:val="20"/>
              </w:rPr>
              <w:t>Vermont</w:t>
            </w:r>
            <w:r w:rsidR="002D7682" w:rsidRPr="00123D84">
              <w:rPr>
                <w:sz w:val="18"/>
                <w:szCs w:val="20"/>
              </w:rPr>
              <w:t>.</w:t>
            </w:r>
          </w:p>
          <w:p w14:paraId="6F5587C6" w14:textId="5D6A13BB" w:rsidR="0062367E" w:rsidRDefault="0062367E" w:rsidP="003475A6">
            <w:pPr>
              <w:pStyle w:val="TableParagraph"/>
              <w:keepLines/>
              <w:widowControl/>
              <w:rPr>
                <w:sz w:val="18"/>
                <w:szCs w:val="20"/>
                <w:highlight w:val="yellow"/>
              </w:rPr>
            </w:pPr>
          </w:p>
          <w:p w14:paraId="7B5C067D" w14:textId="125E55EC" w:rsidR="00401D23" w:rsidRPr="006B6440" w:rsidRDefault="00401D23" w:rsidP="003475A6">
            <w:pPr>
              <w:pStyle w:val="TableParagraph"/>
              <w:keepLines/>
              <w:widowControl/>
              <w:rPr>
                <w:sz w:val="18"/>
                <w:szCs w:val="20"/>
                <w:highlight w:val="yellow"/>
              </w:rPr>
            </w:pPr>
          </w:p>
        </w:tc>
      </w:tr>
    </w:tbl>
    <w:p w14:paraId="410F3549" w14:textId="77777777" w:rsidR="00754FD1" w:rsidRPr="009E495E" w:rsidRDefault="00754FD1">
      <w:pPr>
        <w:pStyle w:val="BodyText"/>
      </w:pPr>
    </w:p>
    <w:p w14:paraId="15E86CE4" w14:textId="77777777" w:rsidR="00C53EF6" w:rsidRDefault="00C53EF6">
      <w:pPr>
        <w:pStyle w:val="BodyText"/>
        <w:rPr>
          <w:sz w:val="28"/>
          <w:szCs w:val="28"/>
        </w:rPr>
      </w:pPr>
    </w:p>
    <w:p w14:paraId="50B90395" w14:textId="77777777" w:rsidR="00C53EF6" w:rsidRDefault="00C53EF6">
      <w:pPr>
        <w:pStyle w:val="BodyText"/>
        <w:rPr>
          <w:sz w:val="28"/>
          <w:szCs w:val="28"/>
        </w:rPr>
      </w:pPr>
    </w:p>
    <w:p w14:paraId="774BB593" w14:textId="77777777" w:rsidR="00C80D92" w:rsidRDefault="00C80D92">
      <w:pPr>
        <w:pStyle w:val="BodyText"/>
        <w:rPr>
          <w:sz w:val="28"/>
          <w:szCs w:val="28"/>
        </w:rPr>
      </w:pPr>
    </w:p>
    <w:p w14:paraId="40FA3683" w14:textId="77777777" w:rsidR="00C80D92" w:rsidRDefault="00C80D92">
      <w:pPr>
        <w:pStyle w:val="BodyText"/>
        <w:rPr>
          <w:sz w:val="28"/>
          <w:szCs w:val="28"/>
        </w:rPr>
      </w:pPr>
    </w:p>
    <w:p w14:paraId="4E98987D" w14:textId="77777777" w:rsidR="00C80D92" w:rsidRDefault="00C80D92">
      <w:pPr>
        <w:pStyle w:val="BodyText"/>
        <w:rPr>
          <w:sz w:val="28"/>
          <w:szCs w:val="28"/>
        </w:rPr>
      </w:pPr>
    </w:p>
    <w:p w14:paraId="6C86B87B" w14:textId="77777777" w:rsidR="00C80D92" w:rsidRDefault="00C80D92">
      <w:pPr>
        <w:pStyle w:val="BodyText"/>
        <w:rPr>
          <w:sz w:val="28"/>
          <w:szCs w:val="28"/>
        </w:rPr>
      </w:pPr>
    </w:p>
    <w:p w14:paraId="671E78DF" w14:textId="77777777" w:rsidR="00C53EF6" w:rsidRDefault="00C53EF6">
      <w:pPr>
        <w:pStyle w:val="BodyText"/>
        <w:rPr>
          <w:sz w:val="28"/>
          <w:szCs w:val="28"/>
        </w:rPr>
      </w:pPr>
    </w:p>
    <w:p w14:paraId="566D6757" w14:textId="64CB523A" w:rsidR="00754FD1" w:rsidRPr="009E495E" w:rsidRDefault="00754FD1">
      <w:pPr>
        <w:pStyle w:val="BodyText"/>
        <w:rPr>
          <w:sz w:val="28"/>
          <w:szCs w:val="28"/>
        </w:rPr>
      </w:pPr>
      <w:r w:rsidRPr="009E495E">
        <w:rPr>
          <w:sz w:val="28"/>
          <w:szCs w:val="28"/>
        </w:rPr>
        <w:t>Overall Assessment</w:t>
      </w:r>
    </w:p>
    <w:p w14:paraId="104E2C31" w14:textId="77777777" w:rsidR="00754FD1" w:rsidRPr="009E495E" w:rsidRDefault="00754FD1">
      <w:pPr>
        <w:pStyle w:val="BodyText"/>
      </w:pPr>
    </w:p>
    <w:tbl>
      <w:tblPr>
        <w:tblStyle w:val="TableGrid"/>
        <w:tblW w:w="0" w:type="auto"/>
        <w:tblInd w:w="288" w:type="dxa"/>
        <w:tblLook w:val="04A0" w:firstRow="1" w:lastRow="0" w:firstColumn="1" w:lastColumn="0" w:noHBand="0" w:noVBand="1"/>
      </w:tblPr>
      <w:tblGrid>
        <w:gridCol w:w="3946"/>
        <w:gridCol w:w="1522"/>
        <w:gridCol w:w="7434"/>
      </w:tblGrid>
      <w:tr w:rsidR="00754FD1" w:rsidRPr="009E495E" w14:paraId="04E62DB9" w14:textId="77777777" w:rsidTr="00754FD1">
        <w:tc>
          <w:tcPr>
            <w:tcW w:w="5490" w:type="dxa"/>
            <w:gridSpan w:val="2"/>
            <w:shd w:val="clear" w:color="auto" w:fill="3B7E32"/>
          </w:tcPr>
          <w:p w14:paraId="1FC4C6BD" w14:textId="1538FE8A" w:rsidR="00754FD1" w:rsidRPr="009E495E" w:rsidRDefault="00754FD1">
            <w:pPr>
              <w:pStyle w:val="BodyText"/>
              <w:spacing w:before="63"/>
            </w:pPr>
            <w:r w:rsidRPr="009E495E">
              <w:rPr>
                <w:b/>
                <w:color w:val="FFFFFF"/>
              </w:rPr>
              <w:t>Overall, does the existing regulatory framework</w:t>
            </w:r>
            <w:r w:rsidRPr="009E495E">
              <w:rPr>
                <w:b/>
                <w:color w:val="FFFFFF"/>
                <w:spacing w:val="-11"/>
              </w:rPr>
              <w:t xml:space="preserve"> </w:t>
            </w:r>
            <w:r w:rsidRPr="009E495E">
              <w:rPr>
                <w:b/>
                <w:color w:val="FFFFFF"/>
              </w:rPr>
              <w:t>support</w:t>
            </w:r>
            <w:r w:rsidRPr="009E495E">
              <w:rPr>
                <w:b/>
                <w:color w:val="FFFFFF"/>
                <w:spacing w:val="-9"/>
              </w:rPr>
              <w:t xml:space="preserve"> </w:t>
            </w:r>
            <w:r w:rsidRPr="009E495E">
              <w:rPr>
                <w:b/>
                <w:color w:val="FFFFFF"/>
              </w:rPr>
              <w:t>achievement</w:t>
            </w:r>
            <w:r w:rsidRPr="009E495E">
              <w:rPr>
                <w:b/>
                <w:color w:val="FFFFFF"/>
                <w:spacing w:val="-12"/>
              </w:rPr>
              <w:t xml:space="preserve"> </w:t>
            </w:r>
            <w:r w:rsidRPr="009E495E">
              <w:rPr>
                <w:b/>
                <w:color w:val="FFFFFF"/>
              </w:rPr>
              <w:t>of</w:t>
            </w:r>
            <w:r w:rsidRPr="009E495E">
              <w:rPr>
                <w:b/>
                <w:color w:val="FFFFFF"/>
                <w:spacing w:val="-12"/>
              </w:rPr>
              <w:t xml:space="preserve"> </w:t>
            </w:r>
            <w:r w:rsidRPr="009E495E">
              <w:rPr>
                <w:b/>
                <w:color w:val="FFFFFF"/>
              </w:rPr>
              <w:t>th</w:t>
            </w:r>
            <w:r w:rsidR="004E09CA" w:rsidRPr="009E495E">
              <w:rPr>
                <w:b/>
                <w:color w:val="FFFFFF"/>
              </w:rPr>
              <w:t>e identified</w:t>
            </w:r>
            <w:r w:rsidRPr="009E495E">
              <w:rPr>
                <w:b/>
                <w:color w:val="FFFFFF"/>
              </w:rPr>
              <w:t xml:space="preserve"> </w:t>
            </w:r>
            <w:r w:rsidRPr="009E495E">
              <w:rPr>
                <w:b/>
                <w:color w:val="FFFFFF"/>
                <w:spacing w:val="-2"/>
              </w:rPr>
              <w:t>outcome?</w:t>
            </w:r>
          </w:p>
        </w:tc>
        <w:tc>
          <w:tcPr>
            <w:tcW w:w="7470" w:type="dxa"/>
            <w:shd w:val="clear" w:color="auto" w:fill="3B7E32"/>
          </w:tcPr>
          <w:p w14:paraId="5B090A8A" w14:textId="0C3864D9" w:rsidR="00754FD1" w:rsidRPr="009E495E" w:rsidRDefault="00754FD1">
            <w:pPr>
              <w:pStyle w:val="BodyText"/>
              <w:spacing w:before="63"/>
            </w:pPr>
            <w:r w:rsidRPr="009E495E">
              <w:rPr>
                <w:b/>
                <w:color w:val="FFFFFF"/>
                <w:spacing w:val="-2"/>
              </w:rPr>
              <w:t>Discussion</w:t>
            </w:r>
          </w:p>
        </w:tc>
      </w:tr>
      <w:tr w:rsidR="00615B91" w:rsidRPr="009E495E" w14:paraId="1A29D26F" w14:textId="77777777" w:rsidTr="004E09CA">
        <w:trPr>
          <w:trHeight w:val="905"/>
        </w:trPr>
        <w:tc>
          <w:tcPr>
            <w:tcW w:w="3960" w:type="dxa"/>
          </w:tcPr>
          <w:p w14:paraId="0D74C0AA" w14:textId="0427D572" w:rsidR="00615B91" w:rsidRPr="009E495E" w:rsidRDefault="00754FD1">
            <w:pPr>
              <w:pStyle w:val="BodyText"/>
              <w:spacing w:before="63"/>
            </w:pPr>
            <w:r w:rsidRPr="009E495E">
              <w:rPr>
                <w:b/>
                <w:bCs/>
              </w:rPr>
              <w:lastRenderedPageBreak/>
              <w:t xml:space="preserve">+ (YES) </w:t>
            </w:r>
            <w:r w:rsidRPr="009E495E">
              <w:t>incents achievement</w:t>
            </w:r>
          </w:p>
        </w:tc>
        <w:tc>
          <w:tcPr>
            <w:tcW w:w="1530" w:type="dxa"/>
          </w:tcPr>
          <w:p w14:paraId="531004E9" w14:textId="77777777" w:rsidR="00615B91" w:rsidRPr="009E495E" w:rsidRDefault="00615B91">
            <w:pPr>
              <w:pStyle w:val="BodyText"/>
              <w:spacing w:before="63"/>
            </w:pPr>
          </w:p>
        </w:tc>
        <w:tc>
          <w:tcPr>
            <w:tcW w:w="7470" w:type="dxa"/>
          </w:tcPr>
          <w:p w14:paraId="28993F9A" w14:textId="77777777" w:rsidR="00615B91" w:rsidRPr="009E495E" w:rsidRDefault="00615B91">
            <w:pPr>
              <w:pStyle w:val="BodyText"/>
              <w:spacing w:before="63"/>
            </w:pPr>
          </w:p>
        </w:tc>
      </w:tr>
      <w:tr w:rsidR="00615B91" w:rsidRPr="009E495E" w14:paraId="36EB2410" w14:textId="77777777" w:rsidTr="004E09CA">
        <w:trPr>
          <w:trHeight w:val="797"/>
        </w:trPr>
        <w:tc>
          <w:tcPr>
            <w:tcW w:w="3960" w:type="dxa"/>
          </w:tcPr>
          <w:p w14:paraId="517ABDD8" w14:textId="16A5B4B2" w:rsidR="00615B91" w:rsidRPr="009E495E" w:rsidRDefault="00754FD1">
            <w:pPr>
              <w:pStyle w:val="BodyText"/>
              <w:spacing w:before="63"/>
            </w:pPr>
            <w:r w:rsidRPr="009E495E">
              <w:rPr>
                <w:b/>
                <w:bCs/>
              </w:rPr>
              <w:t>0 (NO IMPACT)</w:t>
            </w:r>
          </w:p>
        </w:tc>
        <w:tc>
          <w:tcPr>
            <w:tcW w:w="1530" w:type="dxa"/>
          </w:tcPr>
          <w:p w14:paraId="6CD1F948" w14:textId="77777777" w:rsidR="00615B91" w:rsidRPr="009E495E" w:rsidRDefault="00615B91">
            <w:pPr>
              <w:pStyle w:val="BodyText"/>
              <w:spacing w:before="63"/>
            </w:pPr>
          </w:p>
        </w:tc>
        <w:tc>
          <w:tcPr>
            <w:tcW w:w="7470" w:type="dxa"/>
          </w:tcPr>
          <w:p w14:paraId="4E553BFC" w14:textId="77777777" w:rsidR="00615B91" w:rsidRPr="009E495E" w:rsidRDefault="00615B91">
            <w:pPr>
              <w:pStyle w:val="BodyText"/>
              <w:spacing w:before="63"/>
            </w:pPr>
          </w:p>
        </w:tc>
      </w:tr>
      <w:tr w:rsidR="00615B91" w:rsidRPr="009E495E" w14:paraId="3CA1F8FF" w14:textId="77777777" w:rsidTr="004E09CA">
        <w:trPr>
          <w:trHeight w:val="905"/>
        </w:trPr>
        <w:tc>
          <w:tcPr>
            <w:tcW w:w="3960" w:type="dxa"/>
          </w:tcPr>
          <w:p w14:paraId="75D35AC4" w14:textId="0C06DB50" w:rsidR="00615B91" w:rsidRPr="009E495E" w:rsidRDefault="00754FD1">
            <w:pPr>
              <w:pStyle w:val="BodyText"/>
              <w:spacing w:before="63"/>
            </w:pPr>
            <w:r w:rsidRPr="009E495E">
              <w:rPr>
                <w:b/>
                <w:bCs/>
              </w:rPr>
              <w:t xml:space="preserve">- (NO) </w:t>
            </w:r>
            <w:r w:rsidRPr="009E495E">
              <w:t>disincentivizes achievement</w:t>
            </w:r>
          </w:p>
        </w:tc>
        <w:tc>
          <w:tcPr>
            <w:tcW w:w="1530" w:type="dxa"/>
          </w:tcPr>
          <w:p w14:paraId="484E130E" w14:textId="6C139245" w:rsidR="00615B91" w:rsidRPr="009E495E" w:rsidRDefault="00615B91" w:rsidP="007953B8">
            <w:pPr>
              <w:pStyle w:val="BodyText"/>
              <w:spacing w:before="63"/>
              <w:jc w:val="center"/>
            </w:pPr>
          </w:p>
        </w:tc>
        <w:tc>
          <w:tcPr>
            <w:tcW w:w="7470" w:type="dxa"/>
          </w:tcPr>
          <w:p w14:paraId="763DD1AE" w14:textId="728C4F2F" w:rsidR="00615B91" w:rsidRPr="009E495E" w:rsidRDefault="00615B91">
            <w:pPr>
              <w:pStyle w:val="BodyText"/>
              <w:spacing w:before="63"/>
            </w:pPr>
          </w:p>
        </w:tc>
      </w:tr>
    </w:tbl>
    <w:p w14:paraId="40DB61E6" w14:textId="77777777" w:rsidR="00615B91" w:rsidRPr="009E495E" w:rsidRDefault="00615B91">
      <w:pPr>
        <w:pStyle w:val="BodyText"/>
        <w:spacing w:before="63"/>
      </w:pPr>
    </w:p>
    <w:sectPr w:rsidR="00615B91" w:rsidRPr="009E495E">
      <w:pgSz w:w="15840" w:h="12240" w:orient="landscape"/>
      <w:pgMar w:top="138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C367A" w14:textId="77777777" w:rsidR="00C33A7B" w:rsidRDefault="00C33A7B" w:rsidP="00094E79">
      <w:r>
        <w:separator/>
      </w:r>
    </w:p>
  </w:endnote>
  <w:endnote w:type="continuationSeparator" w:id="0">
    <w:p w14:paraId="3CE4DB80" w14:textId="77777777" w:rsidR="00C33A7B" w:rsidRDefault="00C33A7B" w:rsidP="00094E79">
      <w:r>
        <w:continuationSeparator/>
      </w:r>
    </w:p>
  </w:endnote>
  <w:endnote w:type="continuationNotice" w:id="1">
    <w:p w14:paraId="5F0FB003" w14:textId="77777777" w:rsidR="00C33A7B" w:rsidRDefault="00C33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5A87E" w14:textId="77777777" w:rsidR="00C33A7B" w:rsidRDefault="00C33A7B" w:rsidP="00094E79">
      <w:r>
        <w:separator/>
      </w:r>
    </w:p>
  </w:footnote>
  <w:footnote w:type="continuationSeparator" w:id="0">
    <w:p w14:paraId="6533B142" w14:textId="77777777" w:rsidR="00C33A7B" w:rsidRDefault="00C33A7B" w:rsidP="00094E79">
      <w:r>
        <w:continuationSeparator/>
      </w:r>
    </w:p>
  </w:footnote>
  <w:footnote w:type="continuationNotice" w:id="1">
    <w:p w14:paraId="0257F33D" w14:textId="77777777" w:rsidR="00C33A7B" w:rsidRDefault="00C33A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7BEF"/>
    <w:multiLevelType w:val="multilevel"/>
    <w:tmpl w:val="512C5DC6"/>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BD81070"/>
    <w:multiLevelType w:val="hybridMultilevel"/>
    <w:tmpl w:val="B7581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7F004"/>
    <w:multiLevelType w:val="hybridMultilevel"/>
    <w:tmpl w:val="A46E8FDC"/>
    <w:lvl w:ilvl="0" w:tplc="51F22AF2">
      <w:start w:val="1"/>
      <w:numFmt w:val="bullet"/>
      <w:lvlText w:val=""/>
      <w:lvlJc w:val="left"/>
      <w:pPr>
        <w:ind w:left="720" w:hanging="360"/>
      </w:pPr>
      <w:rPr>
        <w:rFonts w:ascii="Symbol" w:hAnsi="Symbol" w:hint="default"/>
      </w:rPr>
    </w:lvl>
    <w:lvl w:ilvl="1" w:tplc="1464C0E0">
      <w:start w:val="1"/>
      <w:numFmt w:val="bullet"/>
      <w:lvlText w:val="o"/>
      <w:lvlJc w:val="left"/>
      <w:pPr>
        <w:ind w:left="1440" w:hanging="360"/>
      </w:pPr>
      <w:rPr>
        <w:rFonts w:ascii="Courier New" w:hAnsi="Courier New" w:hint="default"/>
      </w:rPr>
    </w:lvl>
    <w:lvl w:ilvl="2" w:tplc="F8F0C5DE">
      <w:start w:val="1"/>
      <w:numFmt w:val="bullet"/>
      <w:lvlText w:val=""/>
      <w:lvlJc w:val="left"/>
      <w:pPr>
        <w:ind w:left="2160" w:hanging="360"/>
      </w:pPr>
      <w:rPr>
        <w:rFonts w:ascii="Wingdings" w:hAnsi="Wingdings" w:hint="default"/>
      </w:rPr>
    </w:lvl>
    <w:lvl w:ilvl="3" w:tplc="4C388B56">
      <w:start w:val="1"/>
      <w:numFmt w:val="bullet"/>
      <w:lvlText w:val=""/>
      <w:lvlJc w:val="left"/>
      <w:pPr>
        <w:ind w:left="2880" w:hanging="360"/>
      </w:pPr>
      <w:rPr>
        <w:rFonts w:ascii="Symbol" w:hAnsi="Symbol" w:hint="default"/>
      </w:rPr>
    </w:lvl>
    <w:lvl w:ilvl="4" w:tplc="FB48BCF2">
      <w:start w:val="1"/>
      <w:numFmt w:val="bullet"/>
      <w:lvlText w:val="o"/>
      <w:lvlJc w:val="left"/>
      <w:pPr>
        <w:ind w:left="3600" w:hanging="360"/>
      </w:pPr>
      <w:rPr>
        <w:rFonts w:ascii="Courier New" w:hAnsi="Courier New" w:hint="default"/>
      </w:rPr>
    </w:lvl>
    <w:lvl w:ilvl="5" w:tplc="46301EB0">
      <w:start w:val="1"/>
      <w:numFmt w:val="bullet"/>
      <w:lvlText w:val=""/>
      <w:lvlJc w:val="left"/>
      <w:pPr>
        <w:ind w:left="4320" w:hanging="360"/>
      </w:pPr>
      <w:rPr>
        <w:rFonts w:ascii="Wingdings" w:hAnsi="Wingdings" w:hint="default"/>
      </w:rPr>
    </w:lvl>
    <w:lvl w:ilvl="6" w:tplc="922404CE">
      <w:start w:val="1"/>
      <w:numFmt w:val="bullet"/>
      <w:lvlText w:val=""/>
      <w:lvlJc w:val="left"/>
      <w:pPr>
        <w:ind w:left="5040" w:hanging="360"/>
      </w:pPr>
      <w:rPr>
        <w:rFonts w:ascii="Symbol" w:hAnsi="Symbol" w:hint="default"/>
      </w:rPr>
    </w:lvl>
    <w:lvl w:ilvl="7" w:tplc="A5647CCE">
      <w:start w:val="1"/>
      <w:numFmt w:val="bullet"/>
      <w:lvlText w:val="o"/>
      <w:lvlJc w:val="left"/>
      <w:pPr>
        <w:ind w:left="5760" w:hanging="360"/>
      </w:pPr>
      <w:rPr>
        <w:rFonts w:ascii="Courier New" w:hAnsi="Courier New" w:hint="default"/>
      </w:rPr>
    </w:lvl>
    <w:lvl w:ilvl="8" w:tplc="6FC0821E">
      <w:start w:val="1"/>
      <w:numFmt w:val="bullet"/>
      <w:lvlText w:val=""/>
      <w:lvlJc w:val="left"/>
      <w:pPr>
        <w:ind w:left="6480" w:hanging="360"/>
      </w:pPr>
      <w:rPr>
        <w:rFonts w:ascii="Wingdings" w:hAnsi="Wingdings" w:hint="default"/>
      </w:rPr>
    </w:lvl>
  </w:abstractNum>
  <w:abstractNum w:abstractNumId="3" w15:restartNumberingAfterBreak="0">
    <w:nsid w:val="1D6023BE"/>
    <w:multiLevelType w:val="hybridMultilevel"/>
    <w:tmpl w:val="452C2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9870AB"/>
    <w:multiLevelType w:val="hybridMultilevel"/>
    <w:tmpl w:val="512C5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A8516B2"/>
    <w:multiLevelType w:val="hybridMultilevel"/>
    <w:tmpl w:val="2F10C14C"/>
    <w:lvl w:ilvl="0" w:tplc="0FB619C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514C3D"/>
    <w:multiLevelType w:val="hybridMultilevel"/>
    <w:tmpl w:val="2E48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0EBD2"/>
    <w:multiLevelType w:val="hybridMultilevel"/>
    <w:tmpl w:val="FFFFFFFF"/>
    <w:lvl w:ilvl="0" w:tplc="390CF684">
      <w:start w:val="1"/>
      <w:numFmt w:val="bullet"/>
      <w:lvlText w:val=""/>
      <w:lvlJc w:val="left"/>
      <w:pPr>
        <w:ind w:left="720" w:hanging="360"/>
      </w:pPr>
      <w:rPr>
        <w:rFonts w:ascii="Symbol" w:hAnsi="Symbol" w:hint="default"/>
      </w:rPr>
    </w:lvl>
    <w:lvl w:ilvl="1" w:tplc="B4A0CCC6">
      <w:start w:val="1"/>
      <w:numFmt w:val="bullet"/>
      <w:lvlText w:val="o"/>
      <w:lvlJc w:val="left"/>
      <w:pPr>
        <w:ind w:left="1440" w:hanging="360"/>
      </w:pPr>
      <w:rPr>
        <w:rFonts w:ascii="Courier New" w:hAnsi="Courier New" w:hint="default"/>
      </w:rPr>
    </w:lvl>
    <w:lvl w:ilvl="2" w:tplc="6FBCDFA8">
      <w:start w:val="1"/>
      <w:numFmt w:val="bullet"/>
      <w:lvlText w:val=""/>
      <w:lvlJc w:val="left"/>
      <w:pPr>
        <w:ind w:left="2160" w:hanging="360"/>
      </w:pPr>
      <w:rPr>
        <w:rFonts w:ascii="Wingdings" w:hAnsi="Wingdings" w:hint="default"/>
      </w:rPr>
    </w:lvl>
    <w:lvl w:ilvl="3" w:tplc="D1A2CC98">
      <w:start w:val="1"/>
      <w:numFmt w:val="bullet"/>
      <w:lvlText w:val=""/>
      <w:lvlJc w:val="left"/>
      <w:pPr>
        <w:ind w:left="2880" w:hanging="360"/>
      </w:pPr>
      <w:rPr>
        <w:rFonts w:ascii="Symbol" w:hAnsi="Symbol" w:hint="default"/>
      </w:rPr>
    </w:lvl>
    <w:lvl w:ilvl="4" w:tplc="7ED640A8">
      <w:start w:val="1"/>
      <w:numFmt w:val="bullet"/>
      <w:lvlText w:val="o"/>
      <w:lvlJc w:val="left"/>
      <w:pPr>
        <w:ind w:left="3600" w:hanging="360"/>
      </w:pPr>
      <w:rPr>
        <w:rFonts w:ascii="Courier New" w:hAnsi="Courier New" w:hint="default"/>
      </w:rPr>
    </w:lvl>
    <w:lvl w:ilvl="5" w:tplc="B734B86C">
      <w:start w:val="1"/>
      <w:numFmt w:val="bullet"/>
      <w:lvlText w:val=""/>
      <w:lvlJc w:val="left"/>
      <w:pPr>
        <w:ind w:left="4320" w:hanging="360"/>
      </w:pPr>
      <w:rPr>
        <w:rFonts w:ascii="Wingdings" w:hAnsi="Wingdings" w:hint="default"/>
      </w:rPr>
    </w:lvl>
    <w:lvl w:ilvl="6" w:tplc="A0CAEC2A">
      <w:start w:val="1"/>
      <w:numFmt w:val="bullet"/>
      <w:lvlText w:val=""/>
      <w:lvlJc w:val="left"/>
      <w:pPr>
        <w:ind w:left="5040" w:hanging="360"/>
      </w:pPr>
      <w:rPr>
        <w:rFonts w:ascii="Symbol" w:hAnsi="Symbol" w:hint="default"/>
      </w:rPr>
    </w:lvl>
    <w:lvl w:ilvl="7" w:tplc="C3CCFDF2">
      <w:start w:val="1"/>
      <w:numFmt w:val="bullet"/>
      <w:lvlText w:val="o"/>
      <w:lvlJc w:val="left"/>
      <w:pPr>
        <w:ind w:left="5760" w:hanging="360"/>
      </w:pPr>
      <w:rPr>
        <w:rFonts w:ascii="Courier New" w:hAnsi="Courier New" w:hint="default"/>
      </w:rPr>
    </w:lvl>
    <w:lvl w:ilvl="8" w:tplc="BD7CB9D6">
      <w:start w:val="1"/>
      <w:numFmt w:val="bullet"/>
      <w:lvlText w:val=""/>
      <w:lvlJc w:val="left"/>
      <w:pPr>
        <w:ind w:left="6480" w:hanging="360"/>
      </w:pPr>
      <w:rPr>
        <w:rFonts w:ascii="Wingdings" w:hAnsi="Wingdings" w:hint="default"/>
      </w:rPr>
    </w:lvl>
  </w:abstractNum>
  <w:abstractNum w:abstractNumId="8" w15:restartNumberingAfterBreak="0">
    <w:nsid w:val="62CF7D65"/>
    <w:multiLevelType w:val="hybridMultilevel"/>
    <w:tmpl w:val="ADAE7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64413CC"/>
    <w:multiLevelType w:val="hybridMultilevel"/>
    <w:tmpl w:val="3906F338"/>
    <w:lvl w:ilvl="0" w:tplc="632632B2">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4C2220"/>
    <w:multiLevelType w:val="hybridMultilevel"/>
    <w:tmpl w:val="3A88F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D05F2C"/>
    <w:multiLevelType w:val="hybridMultilevel"/>
    <w:tmpl w:val="435A5A18"/>
    <w:lvl w:ilvl="0" w:tplc="41EA021C">
      <w:start w:val="2"/>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7F617A"/>
    <w:multiLevelType w:val="hybridMultilevel"/>
    <w:tmpl w:val="BE1248F4"/>
    <w:lvl w:ilvl="0" w:tplc="9A124142">
      <w:start w:val="1"/>
      <w:numFmt w:val="bullet"/>
      <w:lvlText w:val=""/>
      <w:lvlJc w:val="left"/>
      <w:pPr>
        <w:ind w:left="900" w:hanging="360"/>
      </w:pPr>
      <w:rPr>
        <w:rFonts w:ascii="Symbol" w:hAnsi="Symbol" w:hint="default"/>
      </w:rPr>
    </w:lvl>
    <w:lvl w:ilvl="1" w:tplc="10A28862" w:tentative="1">
      <w:start w:val="1"/>
      <w:numFmt w:val="bullet"/>
      <w:lvlText w:val="o"/>
      <w:lvlJc w:val="left"/>
      <w:pPr>
        <w:ind w:left="1620" w:hanging="360"/>
      </w:pPr>
      <w:rPr>
        <w:rFonts w:ascii="Courier New" w:hAnsi="Courier New" w:hint="default"/>
      </w:rPr>
    </w:lvl>
    <w:lvl w:ilvl="2" w:tplc="BC4A00D6" w:tentative="1">
      <w:start w:val="1"/>
      <w:numFmt w:val="bullet"/>
      <w:lvlText w:val=""/>
      <w:lvlJc w:val="left"/>
      <w:pPr>
        <w:ind w:left="2340" w:hanging="360"/>
      </w:pPr>
      <w:rPr>
        <w:rFonts w:ascii="Wingdings" w:hAnsi="Wingdings" w:hint="default"/>
      </w:rPr>
    </w:lvl>
    <w:lvl w:ilvl="3" w:tplc="86340976" w:tentative="1">
      <w:start w:val="1"/>
      <w:numFmt w:val="bullet"/>
      <w:lvlText w:val=""/>
      <w:lvlJc w:val="left"/>
      <w:pPr>
        <w:ind w:left="3060" w:hanging="360"/>
      </w:pPr>
      <w:rPr>
        <w:rFonts w:ascii="Symbol" w:hAnsi="Symbol" w:hint="default"/>
      </w:rPr>
    </w:lvl>
    <w:lvl w:ilvl="4" w:tplc="4B30072A" w:tentative="1">
      <w:start w:val="1"/>
      <w:numFmt w:val="bullet"/>
      <w:lvlText w:val="o"/>
      <w:lvlJc w:val="left"/>
      <w:pPr>
        <w:ind w:left="3780" w:hanging="360"/>
      </w:pPr>
      <w:rPr>
        <w:rFonts w:ascii="Courier New" w:hAnsi="Courier New" w:hint="default"/>
      </w:rPr>
    </w:lvl>
    <w:lvl w:ilvl="5" w:tplc="50089DDC" w:tentative="1">
      <w:start w:val="1"/>
      <w:numFmt w:val="bullet"/>
      <w:lvlText w:val=""/>
      <w:lvlJc w:val="left"/>
      <w:pPr>
        <w:ind w:left="4500" w:hanging="360"/>
      </w:pPr>
      <w:rPr>
        <w:rFonts w:ascii="Wingdings" w:hAnsi="Wingdings" w:hint="default"/>
      </w:rPr>
    </w:lvl>
    <w:lvl w:ilvl="6" w:tplc="9D9E3BE6" w:tentative="1">
      <w:start w:val="1"/>
      <w:numFmt w:val="bullet"/>
      <w:lvlText w:val=""/>
      <w:lvlJc w:val="left"/>
      <w:pPr>
        <w:ind w:left="5220" w:hanging="360"/>
      </w:pPr>
      <w:rPr>
        <w:rFonts w:ascii="Symbol" w:hAnsi="Symbol" w:hint="default"/>
      </w:rPr>
    </w:lvl>
    <w:lvl w:ilvl="7" w:tplc="641859B4" w:tentative="1">
      <w:start w:val="1"/>
      <w:numFmt w:val="bullet"/>
      <w:lvlText w:val="o"/>
      <w:lvlJc w:val="left"/>
      <w:pPr>
        <w:ind w:left="5940" w:hanging="360"/>
      </w:pPr>
      <w:rPr>
        <w:rFonts w:ascii="Courier New" w:hAnsi="Courier New" w:hint="default"/>
      </w:rPr>
    </w:lvl>
    <w:lvl w:ilvl="8" w:tplc="AB00BEEC" w:tentative="1">
      <w:start w:val="1"/>
      <w:numFmt w:val="bullet"/>
      <w:lvlText w:val=""/>
      <w:lvlJc w:val="left"/>
      <w:pPr>
        <w:ind w:left="6660" w:hanging="360"/>
      </w:pPr>
      <w:rPr>
        <w:rFonts w:ascii="Wingdings" w:hAnsi="Wingdings" w:hint="default"/>
      </w:rPr>
    </w:lvl>
  </w:abstractNum>
  <w:num w:numId="1" w16cid:durableId="1797216064">
    <w:abstractNumId w:val="2"/>
  </w:num>
  <w:num w:numId="2" w16cid:durableId="1204051922">
    <w:abstractNumId w:val="7"/>
  </w:num>
  <w:num w:numId="3" w16cid:durableId="1043477947">
    <w:abstractNumId w:val="12"/>
  </w:num>
  <w:num w:numId="4" w16cid:durableId="1819224422">
    <w:abstractNumId w:val="10"/>
  </w:num>
  <w:num w:numId="5" w16cid:durableId="372269267">
    <w:abstractNumId w:val="4"/>
  </w:num>
  <w:num w:numId="6" w16cid:durableId="1770421482">
    <w:abstractNumId w:val="8"/>
  </w:num>
  <w:num w:numId="7" w16cid:durableId="514542337">
    <w:abstractNumId w:val="9"/>
  </w:num>
  <w:num w:numId="8" w16cid:durableId="1475945694">
    <w:abstractNumId w:val="11"/>
  </w:num>
  <w:num w:numId="9" w16cid:durableId="1488326880">
    <w:abstractNumId w:val="5"/>
  </w:num>
  <w:num w:numId="10" w16cid:durableId="666398067">
    <w:abstractNumId w:val="3"/>
  </w:num>
  <w:num w:numId="11" w16cid:durableId="1417284975">
    <w:abstractNumId w:val="0"/>
  </w:num>
  <w:num w:numId="12" w16cid:durableId="480388328">
    <w:abstractNumId w:val="1"/>
  </w:num>
  <w:num w:numId="13" w16cid:durableId="20944277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124"/>
    <w:rsid w:val="00000BD6"/>
    <w:rsid w:val="00000DBC"/>
    <w:rsid w:val="00001CBB"/>
    <w:rsid w:val="00001F7A"/>
    <w:rsid w:val="00002015"/>
    <w:rsid w:val="00002259"/>
    <w:rsid w:val="000023CE"/>
    <w:rsid w:val="000025C0"/>
    <w:rsid w:val="000026CF"/>
    <w:rsid w:val="00002CE4"/>
    <w:rsid w:val="00002CE7"/>
    <w:rsid w:val="00002E03"/>
    <w:rsid w:val="00003043"/>
    <w:rsid w:val="00003EBB"/>
    <w:rsid w:val="0000471C"/>
    <w:rsid w:val="000069F9"/>
    <w:rsid w:val="0000723F"/>
    <w:rsid w:val="0000758D"/>
    <w:rsid w:val="00010019"/>
    <w:rsid w:val="00010174"/>
    <w:rsid w:val="00010915"/>
    <w:rsid w:val="00011C8A"/>
    <w:rsid w:val="00012072"/>
    <w:rsid w:val="00012139"/>
    <w:rsid w:val="0001223C"/>
    <w:rsid w:val="00012525"/>
    <w:rsid w:val="00012C4F"/>
    <w:rsid w:val="00012EC0"/>
    <w:rsid w:val="00015C3F"/>
    <w:rsid w:val="000161C9"/>
    <w:rsid w:val="000161D9"/>
    <w:rsid w:val="00016239"/>
    <w:rsid w:val="0001681B"/>
    <w:rsid w:val="00016AAF"/>
    <w:rsid w:val="000208F0"/>
    <w:rsid w:val="00020C27"/>
    <w:rsid w:val="00021141"/>
    <w:rsid w:val="00021869"/>
    <w:rsid w:val="000223E7"/>
    <w:rsid w:val="00022997"/>
    <w:rsid w:val="00022CA5"/>
    <w:rsid w:val="00023ACB"/>
    <w:rsid w:val="0002466F"/>
    <w:rsid w:val="00024D84"/>
    <w:rsid w:val="0002585C"/>
    <w:rsid w:val="0002695C"/>
    <w:rsid w:val="00026E1C"/>
    <w:rsid w:val="00027444"/>
    <w:rsid w:val="000300AA"/>
    <w:rsid w:val="00030B0C"/>
    <w:rsid w:val="00030B40"/>
    <w:rsid w:val="00032A1B"/>
    <w:rsid w:val="00032AA9"/>
    <w:rsid w:val="00032B31"/>
    <w:rsid w:val="00032DBA"/>
    <w:rsid w:val="0003327E"/>
    <w:rsid w:val="0003376A"/>
    <w:rsid w:val="000337DD"/>
    <w:rsid w:val="0003388C"/>
    <w:rsid w:val="00035708"/>
    <w:rsid w:val="00035C32"/>
    <w:rsid w:val="00036557"/>
    <w:rsid w:val="00036883"/>
    <w:rsid w:val="0003718B"/>
    <w:rsid w:val="00037B65"/>
    <w:rsid w:val="00040163"/>
    <w:rsid w:val="000417C0"/>
    <w:rsid w:val="0004196C"/>
    <w:rsid w:val="0004438F"/>
    <w:rsid w:val="0004580C"/>
    <w:rsid w:val="000460F7"/>
    <w:rsid w:val="00046577"/>
    <w:rsid w:val="000466A6"/>
    <w:rsid w:val="00046FD1"/>
    <w:rsid w:val="000474AA"/>
    <w:rsid w:val="0004752B"/>
    <w:rsid w:val="00047A4C"/>
    <w:rsid w:val="000503FC"/>
    <w:rsid w:val="00050939"/>
    <w:rsid w:val="00050D00"/>
    <w:rsid w:val="00052801"/>
    <w:rsid w:val="0005290A"/>
    <w:rsid w:val="00052F44"/>
    <w:rsid w:val="00053C77"/>
    <w:rsid w:val="00054282"/>
    <w:rsid w:val="0005488A"/>
    <w:rsid w:val="00054E4C"/>
    <w:rsid w:val="0005609F"/>
    <w:rsid w:val="000566FF"/>
    <w:rsid w:val="000571AA"/>
    <w:rsid w:val="00057F39"/>
    <w:rsid w:val="00060CFD"/>
    <w:rsid w:val="000613C2"/>
    <w:rsid w:val="00061D80"/>
    <w:rsid w:val="00062A62"/>
    <w:rsid w:val="00062AC1"/>
    <w:rsid w:val="00063E2C"/>
    <w:rsid w:val="000657AD"/>
    <w:rsid w:val="00066097"/>
    <w:rsid w:val="000663D4"/>
    <w:rsid w:val="00066C67"/>
    <w:rsid w:val="00066D35"/>
    <w:rsid w:val="000676B0"/>
    <w:rsid w:val="00067AE3"/>
    <w:rsid w:val="00070025"/>
    <w:rsid w:val="00070451"/>
    <w:rsid w:val="000704D7"/>
    <w:rsid w:val="000709BA"/>
    <w:rsid w:val="00070A1C"/>
    <w:rsid w:val="00070E78"/>
    <w:rsid w:val="0007185C"/>
    <w:rsid w:val="0007275E"/>
    <w:rsid w:val="0007351A"/>
    <w:rsid w:val="00073979"/>
    <w:rsid w:val="000742E5"/>
    <w:rsid w:val="000748A6"/>
    <w:rsid w:val="00074FD0"/>
    <w:rsid w:val="0007527B"/>
    <w:rsid w:val="00076C74"/>
    <w:rsid w:val="00076E3C"/>
    <w:rsid w:val="00077813"/>
    <w:rsid w:val="00080319"/>
    <w:rsid w:val="00080D19"/>
    <w:rsid w:val="00080F76"/>
    <w:rsid w:val="00081788"/>
    <w:rsid w:val="000817DA"/>
    <w:rsid w:val="0008280B"/>
    <w:rsid w:val="0008381F"/>
    <w:rsid w:val="00083862"/>
    <w:rsid w:val="00084F4F"/>
    <w:rsid w:val="00085359"/>
    <w:rsid w:val="0008537A"/>
    <w:rsid w:val="00085C0E"/>
    <w:rsid w:val="0008665E"/>
    <w:rsid w:val="000868B8"/>
    <w:rsid w:val="00087124"/>
    <w:rsid w:val="0008712F"/>
    <w:rsid w:val="00087941"/>
    <w:rsid w:val="00087D6D"/>
    <w:rsid w:val="0009087E"/>
    <w:rsid w:val="00090C73"/>
    <w:rsid w:val="00091A5E"/>
    <w:rsid w:val="000923A5"/>
    <w:rsid w:val="00093CA7"/>
    <w:rsid w:val="00093FE1"/>
    <w:rsid w:val="00094471"/>
    <w:rsid w:val="0009468D"/>
    <w:rsid w:val="00094B18"/>
    <w:rsid w:val="00094E79"/>
    <w:rsid w:val="0009571D"/>
    <w:rsid w:val="00095857"/>
    <w:rsid w:val="00096DEE"/>
    <w:rsid w:val="00097FE4"/>
    <w:rsid w:val="000A0012"/>
    <w:rsid w:val="000A0218"/>
    <w:rsid w:val="000A0767"/>
    <w:rsid w:val="000A093C"/>
    <w:rsid w:val="000A0A83"/>
    <w:rsid w:val="000A0DA7"/>
    <w:rsid w:val="000A15AC"/>
    <w:rsid w:val="000A2C8F"/>
    <w:rsid w:val="000A3FD4"/>
    <w:rsid w:val="000A3FD8"/>
    <w:rsid w:val="000A540C"/>
    <w:rsid w:val="000A5416"/>
    <w:rsid w:val="000A6BA0"/>
    <w:rsid w:val="000A6EBB"/>
    <w:rsid w:val="000A748B"/>
    <w:rsid w:val="000B0381"/>
    <w:rsid w:val="000B0716"/>
    <w:rsid w:val="000B09DC"/>
    <w:rsid w:val="000B0B5F"/>
    <w:rsid w:val="000B0C26"/>
    <w:rsid w:val="000B1BD5"/>
    <w:rsid w:val="000B2414"/>
    <w:rsid w:val="000B30A9"/>
    <w:rsid w:val="000B33D2"/>
    <w:rsid w:val="000B4C7D"/>
    <w:rsid w:val="000B6075"/>
    <w:rsid w:val="000B6423"/>
    <w:rsid w:val="000B6FEE"/>
    <w:rsid w:val="000B77F9"/>
    <w:rsid w:val="000B78FC"/>
    <w:rsid w:val="000B79B9"/>
    <w:rsid w:val="000C035A"/>
    <w:rsid w:val="000C0960"/>
    <w:rsid w:val="000C19F4"/>
    <w:rsid w:val="000C1A37"/>
    <w:rsid w:val="000C20FD"/>
    <w:rsid w:val="000C2A40"/>
    <w:rsid w:val="000C2DDE"/>
    <w:rsid w:val="000C3B00"/>
    <w:rsid w:val="000C4090"/>
    <w:rsid w:val="000C5206"/>
    <w:rsid w:val="000C5336"/>
    <w:rsid w:val="000C540E"/>
    <w:rsid w:val="000C5937"/>
    <w:rsid w:val="000C63D7"/>
    <w:rsid w:val="000C686E"/>
    <w:rsid w:val="000C6A86"/>
    <w:rsid w:val="000C7461"/>
    <w:rsid w:val="000D1433"/>
    <w:rsid w:val="000D32F9"/>
    <w:rsid w:val="000D394C"/>
    <w:rsid w:val="000D3997"/>
    <w:rsid w:val="000D41CB"/>
    <w:rsid w:val="000D4485"/>
    <w:rsid w:val="000D4D9B"/>
    <w:rsid w:val="000D5209"/>
    <w:rsid w:val="000D56B3"/>
    <w:rsid w:val="000D5D3E"/>
    <w:rsid w:val="000D5DC2"/>
    <w:rsid w:val="000D6A65"/>
    <w:rsid w:val="000D6DF3"/>
    <w:rsid w:val="000D72FE"/>
    <w:rsid w:val="000D73F4"/>
    <w:rsid w:val="000D7A20"/>
    <w:rsid w:val="000D7ACF"/>
    <w:rsid w:val="000D7C6D"/>
    <w:rsid w:val="000E0B4A"/>
    <w:rsid w:val="000E138B"/>
    <w:rsid w:val="000E2BB8"/>
    <w:rsid w:val="000E2DF8"/>
    <w:rsid w:val="000E32A0"/>
    <w:rsid w:val="000E35E7"/>
    <w:rsid w:val="000E428A"/>
    <w:rsid w:val="000E430E"/>
    <w:rsid w:val="000E4403"/>
    <w:rsid w:val="000E59EB"/>
    <w:rsid w:val="000E5C54"/>
    <w:rsid w:val="000E5E8A"/>
    <w:rsid w:val="000E69D8"/>
    <w:rsid w:val="000E7E50"/>
    <w:rsid w:val="000F0DEE"/>
    <w:rsid w:val="000F0F6A"/>
    <w:rsid w:val="000F1B17"/>
    <w:rsid w:val="000F27FE"/>
    <w:rsid w:val="000F386C"/>
    <w:rsid w:val="000F3C26"/>
    <w:rsid w:val="000F51B1"/>
    <w:rsid w:val="000F5B1D"/>
    <w:rsid w:val="000F6433"/>
    <w:rsid w:val="000F702A"/>
    <w:rsid w:val="001003FC"/>
    <w:rsid w:val="0010054D"/>
    <w:rsid w:val="00100674"/>
    <w:rsid w:val="00100CB2"/>
    <w:rsid w:val="00100D33"/>
    <w:rsid w:val="0010121C"/>
    <w:rsid w:val="00101535"/>
    <w:rsid w:val="00101EE7"/>
    <w:rsid w:val="00102191"/>
    <w:rsid w:val="00102457"/>
    <w:rsid w:val="00102669"/>
    <w:rsid w:val="00103D98"/>
    <w:rsid w:val="001042CA"/>
    <w:rsid w:val="00104AC6"/>
    <w:rsid w:val="00104D74"/>
    <w:rsid w:val="0010524E"/>
    <w:rsid w:val="0010562E"/>
    <w:rsid w:val="00105FFD"/>
    <w:rsid w:val="0010643C"/>
    <w:rsid w:val="00106B56"/>
    <w:rsid w:val="00106E08"/>
    <w:rsid w:val="001076E3"/>
    <w:rsid w:val="00110285"/>
    <w:rsid w:val="00110987"/>
    <w:rsid w:val="00111BE2"/>
    <w:rsid w:val="00112DA8"/>
    <w:rsid w:val="001139D8"/>
    <w:rsid w:val="00113D47"/>
    <w:rsid w:val="00113EB3"/>
    <w:rsid w:val="00114D0D"/>
    <w:rsid w:val="00115DCF"/>
    <w:rsid w:val="00115DF8"/>
    <w:rsid w:val="00116280"/>
    <w:rsid w:val="001168BF"/>
    <w:rsid w:val="00120693"/>
    <w:rsid w:val="001207DF"/>
    <w:rsid w:val="0012084C"/>
    <w:rsid w:val="001218B8"/>
    <w:rsid w:val="00122156"/>
    <w:rsid w:val="0012386E"/>
    <w:rsid w:val="00123D84"/>
    <w:rsid w:val="0012495D"/>
    <w:rsid w:val="00124B68"/>
    <w:rsid w:val="00124BDC"/>
    <w:rsid w:val="001261AE"/>
    <w:rsid w:val="00126367"/>
    <w:rsid w:val="00126CC6"/>
    <w:rsid w:val="00130407"/>
    <w:rsid w:val="00130EB3"/>
    <w:rsid w:val="00131CD2"/>
    <w:rsid w:val="001346FA"/>
    <w:rsid w:val="001347A7"/>
    <w:rsid w:val="00134AAA"/>
    <w:rsid w:val="001353C4"/>
    <w:rsid w:val="001370C6"/>
    <w:rsid w:val="0013797A"/>
    <w:rsid w:val="00137D4A"/>
    <w:rsid w:val="00140390"/>
    <w:rsid w:val="001405F8"/>
    <w:rsid w:val="00140695"/>
    <w:rsid w:val="00140980"/>
    <w:rsid w:val="001409AB"/>
    <w:rsid w:val="00140E04"/>
    <w:rsid w:val="001451A4"/>
    <w:rsid w:val="00145E8F"/>
    <w:rsid w:val="001464E7"/>
    <w:rsid w:val="0014775D"/>
    <w:rsid w:val="00150402"/>
    <w:rsid w:val="00150F02"/>
    <w:rsid w:val="00151704"/>
    <w:rsid w:val="00151730"/>
    <w:rsid w:val="001527E6"/>
    <w:rsid w:val="0015400B"/>
    <w:rsid w:val="001543CA"/>
    <w:rsid w:val="001546CB"/>
    <w:rsid w:val="001548B0"/>
    <w:rsid w:val="00154FB6"/>
    <w:rsid w:val="001550F5"/>
    <w:rsid w:val="00155695"/>
    <w:rsid w:val="00155887"/>
    <w:rsid w:val="001559C8"/>
    <w:rsid w:val="001568CC"/>
    <w:rsid w:val="001575E2"/>
    <w:rsid w:val="00161CEA"/>
    <w:rsid w:val="001620AA"/>
    <w:rsid w:val="00162579"/>
    <w:rsid w:val="00162F68"/>
    <w:rsid w:val="00163418"/>
    <w:rsid w:val="00163424"/>
    <w:rsid w:val="00164208"/>
    <w:rsid w:val="001647EC"/>
    <w:rsid w:val="001651C2"/>
    <w:rsid w:val="00165AD1"/>
    <w:rsid w:val="001669EA"/>
    <w:rsid w:val="00167F4E"/>
    <w:rsid w:val="00167FD8"/>
    <w:rsid w:val="001708B2"/>
    <w:rsid w:val="00170B8D"/>
    <w:rsid w:val="00170D88"/>
    <w:rsid w:val="00171D14"/>
    <w:rsid w:val="00171F7C"/>
    <w:rsid w:val="00172454"/>
    <w:rsid w:val="001727C1"/>
    <w:rsid w:val="00173BA5"/>
    <w:rsid w:val="00173E7B"/>
    <w:rsid w:val="001744FD"/>
    <w:rsid w:val="00176FBB"/>
    <w:rsid w:val="00177474"/>
    <w:rsid w:val="001779A0"/>
    <w:rsid w:val="00180910"/>
    <w:rsid w:val="00180BE5"/>
    <w:rsid w:val="001824CB"/>
    <w:rsid w:val="00182ACB"/>
    <w:rsid w:val="00182EEE"/>
    <w:rsid w:val="00183224"/>
    <w:rsid w:val="00183374"/>
    <w:rsid w:val="00183B6E"/>
    <w:rsid w:val="00183CB4"/>
    <w:rsid w:val="00184101"/>
    <w:rsid w:val="00184544"/>
    <w:rsid w:val="0018479C"/>
    <w:rsid w:val="0018487F"/>
    <w:rsid w:val="00185792"/>
    <w:rsid w:val="001868CD"/>
    <w:rsid w:val="00186F83"/>
    <w:rsid w:val="001873B2"/>
    <w:rsid w:val="00187489"/>
    <w:rsid w:val="001901B6"/>
    <w:rsid w:val="00190AB8"/>
    <w:rsid w:val="00190AD7"/>
    <w:rsid w:val="00190CB5"/>
    <w:rsid w:val="00192620"/>
    <w:rsid w:val="0019353B"/>
    <w:rsid w:val="00194DBD"/>
    <w:rsid w:val="001951B8"/>
    <w:rsid w:val="0019530C"/>
    <w:rsid w:val="00195606"/>
    <w:rsid w:val="00195891"/>
    <w:rsid w:val="00195E5F"/>
    <w:rsid w:val="00196854"/>
    <w:rsid w:val="001968A5"/>
    <w:rsid w:val="00196D82"/>
    <w:rsid w:val="001A01DB"/>
    <w:rsid w:val="001A0CE8"/>
    <w:rsid w:val="001A2329"/>
    <w:rsid w:val="001A291B"/>
    <w:rsid w:val="001A2E14"/>
    <w:rsid w:val="001A31B4"/>
    <w:rsid w:val="001A41E1"/>
    <w:rsid w:val="001A55B7"/>
    <w:rsid w:val="001A57C7"/>
    <w:rsid w:val="001A68C9"/>
    <w:rsid w:val="001A6BDB"/>
    <w:rsid w:val="001B116A"/>
    <w:rsid w:val="001B1EF2"/>
    <w:rsid w:val="001B2E6D"/>
    <w:rsid w:val="001B420A"/>
    <w:rsid w:val="001B4A99"/>
    <w:rsid w:val="001B4EC1"/>
    <w:rsid w:val="001B5583"/>
    <w:rsid w:val="001B6BAA"/>
    <w:rsid w:val="001B6CF1"/>
    <w:rsid w:val="001B7399"/>
    <w:rsid w:val="001C0989"/>
    <w:rsid w:val="001C0C3B"/>
    <w:rsid w:val="001C177A"/>
    <w:rsid w:val="001C20B7"/>
    <w:rsid w:val="001C36D5"/>
    <w:rsid w:val="001C5324"/>
    <w:rsid w:val="001C5575"/>
    <w:rsid w:val="001C6509"/>
    <w:rsid w:val="001D0819"/>
    <w:rsid w:val="001D0838"/>
    <w:rsid w:val="001D0E59"/>
    <w:rsid w:val="001D0E5A"/>
    <w:rsid w:val="001D0FF6"/>
    <w:rsid w:val="001D133E"/>
    <w:rsid w:val="001D1C46"/>
    <w:rsid w:val="001D2C6D"/>
    <w:rsid w:val="001D30F9"/>
    <w:rsid w:val="001D32F0"/>
    <w:rsid w:val="001D3F19"/>
    <w:rsid w:val="001D4268"/>
    <w:rsid w:val="001D52A2"/>
    <w:rsid w:val="001D5B68"/>
    <w:rsid w:val="001D5E4F"/>
    <w:rsid w:val="001D6B75"/>
    <w:rsid w:val="001D7118"/>
    <w:rsid w:val="001D78ED"/>
    <w:rsid w:val="001D7C93"/>
    <w:rsid w:val="001E082F"/>
    <w:rsid w:val="001E09C2"/>
    <w:rsid w:val="001E12E4"/>
    <w:rsid w:val="001E19C3"/>
    <w:rsid w:val="001E1FCC"/>
    <w:rsid w:val="001E385A"/>
    <w:rsid w:val="001E40E9"/>
    <w:rsid w:val="001E4881"/>
    <w:rsid w:val="001E5E29"/>
    <w:rsid w:val="001E674E"/>
    <w:rsid w:val="001E6A42"/>
    <w:rsid w:val="001E7B9F"/>
    <w:rsid w:val="001F0021"/>
    <w:rsid w:val="001F09EE"/>
    <w:rsid w:val="001F0FEE"/>
    <w:rsid w:val="001F10C4"/>
    <w:rsid w:val="001F22F3"/>
    <w:rsid w:val="001F30D5"/>
    <w:rsid w:val="001F35A9"/>
    <w:rsid w:val="001F393F"/>
    <w:rsid w:val="001F3C7F"/>
    <w:rsid w:val="001F4E8C"/>
    <w:rsid w:val="001F4F65"/>
    <w:rsid w:val="001F5823"/>
    <w:rsid w:val="001F6728"/>
    <w:rsid w:val="001F6C4A"/>
    <w:rsid w:val="001F72FB"/>
    <w:rsid w:val="001F753A"/>
    <w:rsid w:val="001F7A79"/>
    <w:rsid w:val="001F7CFF"/>
    <w:rsid w:val="001F7EAB"/>
    <w:rsid w:val="001F7EB7"/>
    <w:rsid w:val="001F7EE5"/>
    <w:rsid w:val="00200947"/>
    <w:rsid w:val="002014AC"/>
    <w:rsid w:val="00201942"/>
    <w:rsid w:val="00201EE2"/>
    <w:rsid w:val="0020227E"/>
    <w:rsid w:val="00202A33"/>
    <w:rsid w:val="00202ED9"/>
    <w:rsid w:val="00203072"/>
    <w:rsid w:val="00203420"/>
    <w:rsid w:val="0020380E"/>
    <w:rsid w:val="0020382F"/>
    <w:rsid w:val="00203B94"/>
    <w:rsid w:val="00203E99"/>
    <w:rsid w:val="002043F8"/>
    <w:rsid w:val="00206A1B"/>
    <w:rsid w:val="00206DD8"/>
    <w:rsid w:val="002070B9"/>
    <w:rsid w:val="0020732A"/>
    <w:rsid w:val="002073DF"/>
    <w:rsid w:val="00207DA0"/>
    <w:rsid w:val="00207DA3"/>
    <w:rsid w:val="002104AC"/>
    <w:rsid w:val="002110DA"/>
    <w:rsid w:val="00211841"/>
    <w:rsid w:val="00212368"/>
    <w:rsid w:val="00212622"/>
    <w:rsid w:val="00212ACD"/>
    <w:rsid w:val="002136F2"/>
    <w:rsid w:val="00213CDF"/>
    <w:rsid w:val="00214420"/>
    <w:rsid w:val="00214928"/>
    <w:rsid w:val="00214C3C"/>
    <w:rsid w:val="002151EC"/>
    <w:rsid w:val="00215333"/>
    <w:rsid w:val="00216757"/>
    <w:rsid w:val="0021690B"/>
    <w:rsid w:val="002178F3"/>
    <w:rsid w:val="002200B8"/>
    <w:rsid w:val="00220298"/>
    <w:rsid w:val="00220D75"/>
    <w:rsid w:val="00221132"/>
    <w:rsid w:val="002219A6"/>
    <w:rsid w:val="00221DB1"/>
    <w:rsid w:val="002220D6"/>
    <w:rsid w:val="0022255E"/>
    <w:rsid w:val="00223724"/>
    <w:rsid w:val="002240D3"/>
    <w:rsid w:val="0022500E"/>
    <w:rsid w:val="00225B73"/>
    <w:rsid w:val="00226EB7"/>
    <w:rsid w:val="00227669"/>
    <w:rsid w:val="00227781"/>
    <w:rsid w:val="00227D6D"/>
    <w:rsid w:val="00227E4A"/>
    <w:rsid w:val="002300AD"/>
    <w:rsid w:val="002304F9"/>
    <w:rsid w:val="00230536"/>
    <w:rsid w:val="00231298"/>
    <w:rsid w:val="00231CD8"/>
    <w:rsid w:val="00232180"/>
    <w:rsid w:val="002321B9"/>
    <w:rsid w:val="0023248B"/>
    <w:rsid w:val="002328B9"/>
    <w:rsid w:val="00232ED1"/>
    <w:rsid w:val="002330C2"/>
    <w:rsid w:val="002348F9"/>
    <w:rsid w:val="00235745"/>
    <w:rsid w:val="00235F63"/>
    <w:rsid w:val="00236A5F"/>
    <w:rsid w:val="00236D30"/>
    <w:rsid w:val="00237A9D"/>
    <w:rsid w:val="00240652"/>
    <w:rsid w:val="002407D5"/>
    <w:rsid w:val="00241385"/>
    <w:rsid w:val="00242B1E"/>
    <w:rsid w:val="00242FB1"/>
    <w:rsid w:val="002430B2"/>
    <w:rsid w:val="00243956"/>
    <w:rsid w:val="00243F20"/>
    <w:rsid w:val="00244057"/>
    <w:rsid w:val="00244168"/>
    <w:rsid w:val="00244198"/>
    <w:rsid w:val="0024482C"/>
    <w:rsid w:val="00245282"/>
    <w:rsid w:val="00246C7E"/>
    <w:rsid w:val="00247816"/>
    <w:rsid w:val="00250494"/>
    <w:rsid w:val="0025059F"/>
    <w:rsid w:val="00250951"/>
    <w:rsid w:val="00250CE6"/>
    <w:rsid w:val="00251026"/>
    <w:rsid w:val="00251FB5"/>
    <w:rsid w:val="00251FC2"/>
    <w:rsid w:val="002527A1"/>
    <w:rsid w:val="00253239"/>
    <w:rsid w:val="00255500"/>
    <w:rsid w:val="00255A4A"/>
    <w:rsid w:val="0025629F"/>
    <w:rsid w:val="002563F0"/>
    <w:rsid w:val="00260218"/>
    <w:rsid w:val="00260713"/>
    <w:rsid w:val="002607AF"/>
    <w:rsid w:val="00260B18"/>
    <w:rsid w:val="00261633"/>
    <w:rsid w:val="002640C9"/>
    <w:rsid w:val="00265A7D"/>
    <w:rsid w:val="00265AF2"/>
    <w:rsid w:val="00265FDD"/>
    <w:rsid w:val="002667E2"/>
    <w:rsid w:val="00266A5D"/>
    <w:rsid w:val="002679CE"/>
    <w:rsid w:val="002679F2"/>
    <w:rsid w:val="002735BB"/>
    <w:rsid w:val="00273A94"/>
    <w:rsid w:val="00274470"/>
    <w:rsid w:val="0027478A"/>
    <w:rsid w:val="002758B2"/>
    <w:rsid w:val="00277183"/>
    <w:rsid w:val="00277271"/>
    <w:rsid w:val="002772F7"/>
    <w:rsid w:val="00280520"/>
    <w:rsid w:val="0028068B"/>
    <w:rsid w:val="00280FAE"/>
    <w:rsid w:val="00281B46"/>
    <w:rsid w:val="0028266F"/>
    <w:rsid w:val="002826AC"/>
    <w:rsid w:val="00282D26"/>
    <w:rsid w:val="00282D39"/>
    <w:rsid w:val="00283345"/>
    <w:rsid w:val="00283FAF"/>
    <w:rsid w:val="00284A45"/>
    <w:rsid w:val="00284EF1"/>
    <w:rsid w:val="0028509B"/>
    <w:rsid w:val="00286044"/>
    <w:rsid w:val="00286C53"/>
    <w:rsid w:val="00286FF8"/>
    <w:rsid w:val="00287A9F"/>
    <w:rsid w:val="00287BB6"/>
    <w:rsid w:val="00287BB8"/>
    <w:rsid w:val="0029102C"/>
    <w:rsid w:val="00291FFF"/>
    <w:rsid w:val="00292DE1"/>
    <w:rsid w:val="002942EA"/>
    <w:rsid w:val="00294F67"/>
    <w:rsid w:val="002956A3"/>
    <w:rsid w:val="00296076"/>
    <w:rsid w:val="002960C0"/>
    <w:rsid w:val="002961B0"/>
    <w:rsid w:val="00296805"/>
    <w:rsid w:val="00296C5D"/>
    <w:rsid w:val="00297A49"/>
    <w:rsid w:val="002A2F2E"/>
    <w:rsid w:val="002A312E"/>
    <w:rsid w:val="002A35AD"/>
    <w:rsid w:val="002A3EAE"/>
    <w:rsid w:val="002A4C87"/>
    <w:rsid w:val="002A4F52"/>
    <w:rsid w:val="002A535C"/>
    <w:rsid w:val="002A54D9"/>
    <w:rsid w:val="002A56B0"/>
    <w:rsid w:val="002A5CCB"/>
    <w:rsid w:val="002A675C"/>
    <w:rsid w:val="002A6DBD"/>
    <w:rsid w:val="002A700B"/>
    <w:rsid w:val="002A712F"/>
    <w:rsid w:val="002A7229"/>
    <w:rsid w:val="002A7AA3"/>
    <w:rsid w:val="002B0D61"/>
    <w:rsid w:val="002B1610"/>
    <w:rsid w:val="002B19E4"/>
    <w:rsid w:val="002B1BDA"/>
    <w:rsid w:val="002B2930"/>
    <w:rsid w:val="002B2C65"/>
    <w:rsid w:val="002B2D77"/>
    <w:rsid w:val="002B2F21"/>
    <w:rsid w:val="002B44E1"/>
    <w:rsid w:val="002B47AA"/>
    <w:rsid w:val="002B5819"/>
    <w:rsid w:val="002B5E0F"/>
    <w:rsid w:val="002B60F5"/>
    <w:rsid w:val="002B6302"/>
    <w:rsid w:val="002B6658"/>
    <w:rsid w:val="002B6A3E"/>
    <w:rsid w:val="002C0331"/>
    <w:rsid w:val="002C0368"/>
    <w:rsid w:val="002C099C"/>
    <w:rsid w:val="002C129B"/>
    <w:rsid w:val="002C1704"/>
    <w:rsid w:val="002C1EEC"/>
    <w:rsid w:val="002C2DCA"/>
    <w:rsid w:val="002C3529"/>
    <w:rsid w:val="002C3A61"/>
    <w:rsid w:val="002C3A7A"/>
    <w:rsid w:val="002C4108"/>
    <w:rsid w:val="002C4166"/>
    <w:rsid w:val="002C4E79"/>
    <w:rsid w:val="002C5566"/>
    <w:rsid w:val="002C5955"/>
    <w:rsid w:val="002C5CE6"/>
    <w:rsid w:val="002C68DF"/>
    <w:rsid w:val="002C6D5C"/>
    <w:rsid w:val="002C6FB6"/>
    <w:rsid w:val="002D0AF7"/>
    <w:rsid w:val="002D1CA7"/>
    <w:rsid w:val="002D4001"/>
    <w:rsid w:val="002D406D"/>
    <w:rsid w:val="002D4091"/>
    <w:rsid w:val="002D503B"/>
    <w:rsid w:val="002D6393"/>
    <w:rsid w:val="002D64FB"/>
    <w:rsid w:val="002D6FA4"/>
    <w:rsid w:val="002D741E"/>
    <w:rsid w:val="002D7682"/>
    <w:rsid w:val="002D7C6B"/>
    <w:rsid w:val="002E0809"/>
    <w:rsid w:val="002E090A"/>
    <w:rsid w:val="002E0AD6"/>
    <w:rsid w:val="002E120D"/>
    <w:rsid w:val="002E21EA"/>
    <w:rsid w:val="002E22AE"/>
    <w:rsid w:val="002E2B1A"/>
    <w:rsid w:val="002E33C7"/>
    <w:rsid w:val="002E4261"/>
    <w:rsid w:val="002E4265"/>
    <w:rsid w:val="002E4B1D"/>
    <w:rsid w:val="002E6D34"/>
    <w:rsid w:val="002E7380"/>
    <w:rsid w:val="002E751F"/>
    <w:rsid w:val="002F057A"/>
    <w:rsid w:val="002F1297"/>
    <w:rsid w:val="002F15A1"/>
    <w:rsid w:val="002F1E49"/>
    <w:rsid w:val="002F2763"/>
    <w:rsid w:val="002F4ACF"/>
    <w:rsid w:val="002F5D59"/>
    <w:rsid w:val="002F6E32"/>
    <w:rsid w:val="002F72D5"/>
    <w:rsid w:val="002F7425"/>
    <w:rsid w:val="002F7DCD"/>
    <w:rsid w:val="0030022D"/>
    <w:rsid w:val="00300810"/>
    <w:rsid w:val="003009D3"/>
    <w:rsid w:val="00301073"/>
    <w:rsid w:val="00301124"/>
    <w:rsid w:val="00301469"/>
    <w:rsid w:val="003018B0"/>
    <w:rsid w:val="00303FA1"/>
    <w:rsid w:val="003057E1"/>
    <w:rsid w:val="00305CDF"/>
    <w:rsid w:val="00305E12"/>
    <w:rsid w:val="00306843"/>
    <w:rsid w:val="00306D51"/>
    <w:rsid w:val="0030712C"/>
    <w:rsid w:val="00307151"/>
    <w:rsid w:val="003076EE"/>
    <w:rsid w:val="0031039D"/>
    <w:rsid w:val="00310731"/>
    <w:rsid w:val="003108E9"/>
    <w:rsid w:val="00310A9E"/>
    <w:rsid w:val="00310BE5"/>
    <w:rsid w:val="00311258"/>
    <w:rsid w:val="003115DF"/>
    <w:rsid w:val="003128E8"/>
    <w:rsid w:val="00313A5F"/>
    <w:rsid w:val="00314E22"/>
    <w:rsid w:val="00315E8F"/>
    <w:rsid w:val="00315F5F"/>
    <w:rsid w:val="00316000"/>
    <w:rsid w:val="00317237"/>
    <w:rsid w:val="00317339"/>
    <w:rsid w:val="0031776D"/>
    <w:rsid w:val="003177AD"/>
    <w:rsid w:val="00317F18"/>
    <w:rsid w:val="00317F9D"/>
    <w:rsid w:val="00317FF9"/>
    <w:rsid w:val="00320894"/>
    <w:rsid w:val="00320F50"/>
    <w:rsid w:val="00321210"/>
    <w:rsid w:val="00321B04"/>
    <w:rsid w:val="00322698"/>
    <w:rsid w:val="00322BC1"/>
    <w:rsid w:val="00322F8E"/>
    <w:rsid w:val="00323072"/>
    <w:rsid w:val="003232D6"/>
    <w:rsid w:val="00324159"/>
    <w:rsid w:val="00325685"/>
    <w:rsid w:val="00325CF1"/>
    <w:rsid w:val="003260BE"/>
    <w:rsid w:val="00326695"/>
    <w:rsid w:val="003268E9"/>
    <w:rsid w:val="003276A7"/>
    <w:rsid w:val="00327853"/>
    <w:rsid w:val="003303D5"/>
    <w:rsid w:val="00331A52"/>
    <w:rsid w:val="0033225E"/>
    <w:rsid w:val="00332507"/>
    <w:rsid w:val="00332BA8"/>
    <w:rsid w:val="003332E4"/>
    <w:rsid w:val="00333667"/>
    <w:rsid w:val="00335439"/>
    <w:rsid w:val="0033597B"/>
    <w:rsid w:val="00335D77"/>
    <w:rsid w:val="00336461"/>
    <w:rsid w:val="003371E3"/>
    <w:rsid w:val="00337B0B"/>
    <w:rsid w:val="0034078B"/>
    <w:rsid w:val="00341332"/>
    <w:rsid w:val="00341389"/>
    <w:rsid w:val="00341759"/>
    <w:rsid w:val="00341A95"/>
    <w:rsid w:val="0034215D"/>
    <w:rsid w:val="003422A3"/>
    <w:rsid w:val="003439EA"/>
    <w:rsid w:val="00343C50"/>
    <w:rsid w:val="00343C56"/>
    <w:rsid w:val="00343D68"/>
    <w:rsid w:val="00343FD1"/>
    <w:rsid w:val="003443F8"/>
    <w:rsid w:val="003449F8"/>
    <w:rsid w:val="00345F2C"/>
    <w:rsid w:val="00346319"/>
    <w:rsid w:val="003466F5"/>
    <w:rsid w:val="00346B88"/>
    <w:rsid w:val="00347088"/>
    <w:rsid w:val="003474D2"/>
    <w:rsid w:val="0034752E"/>
    <w:rsid w:val="003475A6"/>
    <w:rsid w:val="0034785C"/>
    <w:rsid w:val="003478D5"/>
    <w:rsid w:val="00347AD4"/>
    <w:rsid w:val="00347AE6"/>
    <w:rsid w:val="003504BC"/>
    <w:rsid w:val="003508C8"/>
    <w:rsid w:val="00350DDE"/>
    <w:rsid w:val="00351EAE"/>
    <w:rsid w:val="00352D5C"/>
    <w:rsid w:val="0035304A"/>
    <w:rsid w:val="00353DFF"/>
    <w:rsid w:val="00354141"/>
    <w:rsid w:val="003544FD"/>
    <w:rsid w:val="003547C7"/>
    <w:rsid w:val="0035509C"/>
    <w:rsid w:val="00355480"/>
    <w:rsid w:val="00355536"/>
    <w:rsid w:val="00355769"/>
    <w:rsid w:val="003564A2"/>
    <w:rsid w:val="0035708F"/>
    <w:rsid w:val="00357E40"/>
    <w:rsid w:val="003602B8"/>
    <w:rsid w:val="003602CD"/>
    <w:rsid w:val="003612DF"/>
    <w:rsid w:val="003618E9"/>
    <w:rsid w:val="00362C30"/>
    <w:rsid w:val="00362FA2"/>
    <w:rsid w:val="003643A7"/>
    <w:rsid w:val="00364DA6"/>
    <w:rsid w:val="003652E8"/>
    <w:rsid w:val="003659E2"/>
    <w:rsid w:val="00365CDB"/>
    <w:rsid w:val="00365F3C"/>
    <w:rsid w:val="00366347"/>
    <w:rsid w:val="00367F01"/>
    <w:rsid w:val="0037013D"/>
    <w:rsid w:val="00371674"/>
    <w:rsid w:val="0037195C"/>
    <w:rsid w:val="00371DAD"/>
    <w:rsid w:val="003720C9"/>
    <w:rsid w:val="0037248E"/>
    <w:rsid w:val="00372595"/>
    <w:rsid w:val="003725BC"/>
    <w:rsid w:val="00372D29"/>
    <w:rsid w:val="00373D8C"/>
    <w:rsid w:val="003740B2"/>
    <w:rsid w:val="00374270"/>
    <w:rsid w:val="00374F4D"/>
    <w:rsid w:val="00376088"/>
    <w:rsid w:val="003762D5"/>
    <w:rsid w:val="00376BB9"/>
    <w:rsid w:val="00376D76"/>
    <w:rsid w:val="00376E53"/>
    <w:rsid w:val="003772B0"/>
    <w:rsid w:val="00377D09"/>
    <w:rsid w:val="0038272F"/>
    <w:rsid w:val="003828D0"/>
    <w:rsid w:val="003829D3"/>
    <w:rsid w:val="00382BC8"/>
    <w:rsid w:val="003835E2"/>
    <w:rsid w:val="003841E6"/>
    <w:rsid w:val="0038447A"/>
    <w:rsid w:val="00384D93"/>
    <w:rsid w:val="00385EC0"/>
    <w:rsid w:val="00386C0A"/>
    <w:rsid w:val="00390AEE"/>
    <w:rsid w:val="00392ADD"/>
    <w:rsid w:val="00393CA4"/>
    <w:rsid w:val="00393EDB"/>
    <w:rsid w:val="0039471F"/>
    <w:rsid w:val="00394A34"/>
    <w:rsid w:val="00394F2B"/>
    <w:rsid w:val="00396132"/>
    <w:rsid w:val="00396464"/>
    <w:rsid w:val="0039696F"/>
    <w:rsid w:val="00397542"/>
    <w:rsid w:val="003A05D0"/>
    <w:rsid w:val="003A0A7E"/>
    <w:rsid w:val="003A17A9"/>
    <w:rsid w:val="003A2731"/>
    <w:rsid w:val="003A2E1A"/>
    <w:rsid w:val="003A333A"/>
    <w:rsid w:val="003A3D45"/>
    <w:rsid w:val="003A4C32"/>
    <w:rsid w:val="003A5DCA"/>
    <w:rsid w:val="003A62DA"/>
    <w:rsid w:val="003A68EB"/>
    <w:rsid w:val="003A7EB6"/>
    <w:rsid w:val="003B251D"/>
    <w:rsid w:val="003B2653"/>
    <w:rsid w:val="003B3704"/>
    <w:rsid w:val="003B4167"/>
    <w:rsid w:val="003B4A65"/>
    <w:rsid w:val="003B4ACD"/>
    <w:rsid w:val="003B6546"/>
    <w:rsid w:val="003B67AD"/>
    <w:rsid w:val="003B72EC"/>
    <w:rsid w:val="003B74CD"/>
    <w:rsid w:val="003B764C"/>
    <w:rsid w:val="003B7B83"/>
    <w:rsid w:val="003C0A26"/>
    <w:rsid w:val="003C1540"/>
    <w:rsid w:val="003C1B78"/>
    <w:rsid w:val="003C248F"/>
    <w:rsid w:val="003C2F8C"/>
    <w:rsid w:val="003C30FC"/>
    <w:rsid w:val="003C324E"/>
    <w:rsid w:val="003C3715"/>
    <w:rsid w:val="003C581B"/>
    <w:rsid w:val="003C5E79"/>
    <w:rsid w:val="003C6EA8"/>
    <w:rsid w:val="003C70A5"/>
    <w:rsid w:val="003C79D8"/>
    <w:rsid w:val="003D09AD"/>
    <w:rsid w:val="003D0AA2"/>
    <w:rsid w:val="003D0E5B"/>
    <w:rsid w:val="003D19E7"/>
    <w:rsid w:val="003D1EE1"/>
    <w:rsid w:val="003D3218"/>
    <w:rsid w:val="003D3330"/>
    <w:rsid w:val="003D3E0E"/>
    <w:rsid w:val="003D4026"/>
    <w:rsid w:val="003D4643"/>
    <w:rsid w:val="003D46B2"/>
    <w:rsid w:val="003D4E39"/>
    <w:rsid w:val="003D53BD"/>
    <w:rsid w:val="003D56EF"/>
    <w:rsid w:val="003D58C9"/>
    <w:rsid w:val="003D5A5F"/>
    <w:rsid w:val="003D5C0B"/>
    <w:rsid w:val="003D5F0F"/>
    <w:rsid w:val="003D6581"/>
    <w:rsid w:val="003E00F3"/>
    <w:rsid w:val="003E0C15"/>
    <w:rsid w:val="003E1E73"/>
    <w:rsid w:val="003E2131"/>
    <w:rsid w:val="003E2469"/>
    <w:rsid w:val="003E2B26"/>
    <w:rsid w:val="003E4657"/>
    <w:rsid w:val="003E5A91"/>
    <w:rsid w:val="003E5BB1"/>
    <w:rsid w:val="003E5EFC"/>
    <w:rsid w:val="003E6BF2"/>
    <w:rsid w:val="003E751E"/>
    <w:rsid w:val="003F00EA"/>
    <w:rsid w:val="003F0E71"/>
    <w:rsid w:val="003F3479"/>
    <w:rsid w:val="003F3B88"/>
    <w:rsid w:val="003F4240"/>
    <w:rsid w:val="003F4415"/>
    <w:rsid w:val="003F4CCB"/>
    <w:rsid w:val="003F5DEB"/>
    <w:rsid w:val="003F66A9"/>
    <w:rsid w:val="003F7EB8"/>
    <w:rsid w:val="003F7ED6"/>
    <w:rsid w:val="00400B99"/>
    <w:rsid w:val="00401BC6"/>
    <w:rsid w:val="00401D23"/>
    <w:rsid w:val="0040253E"/>
    <w:rsid w:val="00403DD5"/>
    <w:rsid w:val="00403E98"/>
    <w:rsid w:val="0040416B"/>
    <w:rsid w:val="00404667"/>
    <w:rsid w:val="004046F3"/>
    <w:rsid w:val="00405072"/>
    <w:rsid w:val="0040561F"/>
    <w:rsid w:val="0040633F"/>
    <w:rsid w:val="00407449"/>
    <w:rsid w:val="00407EE7"/>
    <w:rsid w:val="0041141C"/>
    <w:rsid w:val="00411C9E"/>
    <w:rsid w:val="00411CD8"/>
    <w:rsid w:val="00412007"/>
    <w:rsid w:val="0041289A"/>
    <w:rsid w:val="00412EC4"/>
    <w:rsid w:val="00413030"/>
    <w:rsid w:val="004134D8"/>
    <w:rsid w:val="004137AD"/>
    <w:rsid w:val="00413A72"/>
    <w:rsid w:val="00414435"/>
    <w:rsid w:val="00414656"/>
    <w:rsid w:val="0041493B"/>
    <w:rsid w:val="004154CC"/>
    <w:rsid w:val="004154D1"/>
    <w:rsid w:val="00415B65"/>
    <w:rsid w:val="00416B77"/>
    <w:rsid w:val="00416BE1"/>
    <w:rsid w:val="00420818"/>
    <w:rsid w:val="004210C7"/>
    <w:rsid w:val="00421184"/>
    <w:rsid w:val="00421515"/>
    <w:rsid w:val="004225FD"/>
    <w:rsid w:val="00422914"/>
    <w:rsid w:val="004230D4"/>
    <w:rsid w:val="00423173"/>
    <w:rsid w:val="00424188"/>
    <w:rsid w:val="004259DC"/>
    <w:rsid w:val="00425CD5"/>
    <w:rsid w:val="00426850"/>
    <w:rsid w:val="00426C17"/>
    <w:rsid w:val="00426E08"/>
    <w:rsid w:val="004270DD"/>
    <w:rsid w:val="00427FE1"/>
    <w:rsid w:val="004305F3"/>
    <w:rsid w:val="00431ADE"/>
    <w:rsid w:val="0043207E"/>
    <w:rsid w:val="004326E9"/>
    <w:rsid w:val="00432BB9"/>
    <w:rsid w:val="004337D0"/>
    <w:rsid w:val="00433AD9"/>
    <w:rsid w:val="00435B1F"/>
    <w:rsid w:val="0043601B"/>
    <w:rsid w:val="00436984"/>
    <w:rsid w:val="00437C51"/>
    <w:rsid w:val="00440E62"/>
    <w:rsid w:val="00441E35"/>
    <w:rsid w:val="00441E38"/>
    <w:rsid w:val="00442A1E"/>
    <w:rsid w:val="004430BD"/>
    <w:rsid w:val="00444F2E"/>
    <w:rsid w:val="0044525E"/>
    <w:rsid w:val="00445B99"/>
    <w:rsid w:val="0044608D"/>
    <w:rsid w:val="00447B4F"/>
    <w:rsid w:val="00450A0C"/>
    <w:rsid w:val="00450BF7"/>
    <w:rsid w:val="00451232"/>
    <w:rsid w:val="00451729"/>
    <w:rsid w:val="00451AD3"/>
    <w:rsid w:val="00451E29"/>
    <w:rsid w:val="00452834"/>
    <w:rsid w:val="00452B39"/>
    <w:rsid w:val="00453AD3"/>
    <w:rsid w:val="004544DA"/>
    <w:rsid w:val="004550E4"/>
    <w:rsid w:val="00456456"/>
    <w:rsid w:val="004566EC"/>
    <w:rsid w:val="004567FA"/>
    <w:rsid w:val="0046047B"/>
    <w:rsid w:val="0046058A"/>
    <w:rsid w:val="00462580"/>
    <w:rsid w:val="0046269D"/>
    <w:rsid w:val="00462721"/>
    <w:rsid w:val="004636A1"/>
    <w:rsid w:val="004644A3"/>
    <w:rsid w:val="0046470D"/>
    <w:rsid w:val="0046487F"/>
    <w:rsid w:val="00465EDD"/>
    <w:rsid w:val="00465F97"/>
    <w:rsid w:val="00465FE6"/>
    <w:rsid w:val="004661DE"/>
    <w:rsid w:val="004663EE"/>
    <w:rsid w:val="004665BA"/>
    <w:rsid w:val="0046777E"/>
    <w:rsid w:val="0047002F"/>
    <w:rsid w:val="00471339"/>
    <w:rsid w:val="00472D72"/>
    <w:rsid w:val="00473C27"/>
    <w:rsid w:val="00473CFD"/>
    <w:rsid w:val="00473DB6"/>
    <w:rsid w:val="00473E0F"/>
    <w:rsid w:val="00474FF1"/>
    <w:rsid w:val="004753DF"/>
    <w:rsid w:val="00475781"/>
    <w:rsid w:val="0047578C"/>
    <w:rsid w:val="00475C7B"/>
    <w:rsid w:val="004763B7"/>
    <w:rsid w:val="00476613"/>
    <w:rsid w:val="004774E8"/>
    <w:rsid w:val="004775E4"/>
    <w:rsid w:val="00477F3C"/>
    <w:rsid w:val="004800EE"/>
    <w:rsid w:val="004802E4"/>
    <w:rsid w:val="004808FF"/>
    <w:rsid w:val="0048206E"/>
    <w:rsid w:val="0048234B"/>
    <w:rsid w:val="00482AF1"/>
    <w:rsid w:val="00482BB5"/>
    <w:rsid w:val="0048334F"/>
    <w:rsid w:val="00483705"/>
    <w:rsid w:val="00483739"/>
    <w:rsid w:val="00485FCD"/>
    <w:rsid w:val="004861EA"/>
    <w:rsid w:val="004878AC"/>
    <w:rsid w:val="00491002"/>
    <w:rsid w:val="0049168D"/>
    <w:rsid w:val="004917C2"/>
    <w:rsid w:val="0049181B"/>
    <w:rsid w:val="004918E9"/>
    <w:rsid w:val="00491AFF"/>
    <w:rsid w:val="004922E1"/>
    <w:rsid w:val="00493F53"/>
    <w:rsid w:val="00494B2C"/>
    <w:rsid w:val="00495307"/>
    <w:rsid w:val="00496CEF"/>
    <w:rsid w:val="00496D7E"/>
    <w:rsid w:val="00496FF4"/>
    <w:rsid w:val="0049743B"/>
    <w:rsid w:val="004979A6"/>
    <w:rsid w:val="00497A6D"/>
    <w:rsid w:val="004A0B32"/>
    <w:rsid w:val="004A2447"/>
    <w:rsid w:val="004A2957"/>
    <w:rsid w:val="004A29B1"/>
    <w:rsid w:val="004A44DF"/>
    <w:rsid w:val="004A4864"/>
    <w:rsid w:val="004A4922"/>
    <w:rsid w:val="004A4E33"/>
    <w:rsid w:val="004A5306"/>
    <w:rsid w:val="004A545E"/>
    <w:rsid w:val="004A5753"/>
    <w:rsid w:val="004A6666"/>
    <w:rsid w:val="004A6F6E"/>
    <w:rsid w:val="004A73E0"/>
    <w:rsid w:val="004A7C97"/>
    <w:rsid w:val="004A7E2A"/>
    <w:rsid w:val="004B1083"/>
    <w:rsid w:val="004B126B"/>
    <w:rsid w:val="004B23DA"/>
    <w:rsid w:val="004B2755"/>
    <w:rsid w:val="004B2ABB"/>
    <w:rsid w:val="004B3242"/>
    <w:rsid w:val="004B3814"/>
    <w:rsid w:val="004B3D0B"/>
    <w:rsid w:val="004B41EB"/>
    <w:rsid w:val="004B44EB"/>
    <w:rsid w:val="004B56DD"/>
    <w:rsid w:val="004B5B01"/>
    <w:rsid w:val="004B5B37"/>
    <w:rsid w:val="004B744F"/>
    <w:rsid w:val="004B76A9"/>
    <w:rsid w:val="004B77CF"/>
    <w:rsid w:val="004B7A41"/>
    <w:rsid w:val="004C0072"/>
    <w:rsid w:val="004C1253"/>
    <w:rsid w:val="004C1624"/>
    <w:rsid w:val="004C1B60"/>
    <w:rsid w:val="004C2158"/>
    <w:rsid w:val="004C2294"/>
    <w:rsid w:val="004C25F8"/>
    <w:rsid w:val="004C34A7"/>
    <w:rsid w:val="004C4256"/>
    <w:rsid w:val="004C47EF"/>
    <w:rsid w:val="004C4A91"/>
    <w:rsid w:val="004C7A24"/>
    <w:rsid w:val="004C7F99"/>
    <w:rsid w:val="004D0939"/>
    <w:rsid w:val="004D0C3C"/>
    <w:rsid w:val="004D0CE4"/>
    <w:rsid w:val="004D180D"/>
    <w:rsid w:val="004D21D9"/>
    <w:rsid w:val="004D24BB"/>
    <w:rsid w:val="004D25C8"/>
    <w:rsid w:val="004D2CE9"/>
    <w:rsid w:val="004D3195"/>
    <w:rsid w:val="004D3337"/>
    <w:rsid w:val="004D3556"/>
    <w:rsid w:val="004D405B"/>
    <w:rsid w:val="004D4C2F"/>
    <w:rsid w:val="004D4FAB"/>
    <w:rsid w:val="004D5518"/>
    <w:rsid w:val="004D63C5"/>
    <w:rsid w:val="004D6689"/>
    <w:rsid w:val="004D7CB1"/>
    <w:rsid w:val="004E05C0"/>
    <w:rsid w:val="004E08DB"/>
    <w:rsid w:val="004E09CA"/>
    <w:rsid w:val="004E0EAF"/>
    <w:rsid w:val="004E1E71"/>
    <w:rsid w:val="004E21B3"/>
    <w:rsid w:val="004E33D3"/>
    <w:rsid w:val="004E48F1"/>
    <w:rsid w:val="004E4BDD"/>
    <w:rsid w:val="004E6562"/>
    <w:rsid w:val="004E6597"/>
    <w:rsid w:val="004E754B"/>
    <w:rsid w:val="004F0001"/>
    <w:rsid w:val="004F0284"/>
    <w:rsid w:val="004F07B2"/>
    <w:rsid w:val="004F132B"/>
    <w:rsid w:val="004F1538"/>
    <w:rsid w:val="004F2753"/>
    <w:rsid w:val="004F35C1"/>
    <w:rsid w:val="004F5D14"/>
    <w:rsid w:val="004F6148"/>
    <w:rsid w:val="004F6436"/>
    <w:rsid w:val="004F6C6E"/>
    <w:rsid w:val="004F78F0"/>
    <w:rsid w:val="005014A8"/>
    <w:rsid w:val="00501778"/>
    <w:rsid w:val="00501B63"/>
    <w:rsid w:val="00502237"/>
    <w:rsid w:val="00502FC1"/>
    <w:rsid w:val="005035BD"/>
    <w:rsid w:val="00503935"/>
    <w:rsid w:val="00503A34"/>
    <w:rsid w:val="00503AF7"/>
    <w:rsid w:val="00503D93"/>
    <w:rsid w:val="0050402C"/>
    <w:rsid w:val="005079DD"/>
    <w:rsid w:val="00507C3E"/>
    <w:rsid w:val="005100C0"/>
    <w:rsid w:val="00510449"/>
    <w:rsid w:val="00510C8C"/>
    <w:rsid w:val="005111A0"/>
    <w:rsid w:val="0051189D"/>
    <w:rsid w:val="00512D6F"/>
    <w:rsid w:val="005131C8"/>
    <w:rsid w:val="005136CD"/>
    <w:rsid w:val="00513B53"/>
    <w:rsid w:val="0051407A"/>
    <w:rsid w:val="005140EB"/>
    <w:rsid w:val="00514259"/>
    <w:rsid w:val="0051491E"/>
    <w:rsid w:val="005150F8"/>
    <w:rsid w:val="005152B0"/>
    <w:rsid w:val="005152F0"/>
    <w:rsid w:val="00515BE6"/>
    <w:rsid w:val="00515C74"/>
    <w:rsid w:val="0051603F"/>
    <w:rsid w:val="0051739B"/>
    <w:rsid w:val="005176C8"/>
    <w:rsid w:val="00517AD5"/>
    <w:rsid w:val="00517D48"/>
    <w:rsid w:val="0052013A"/>
    <w:rsid w:val="005210A4"/>
    <w:rsid w:val="005213B4"/>
    <w:rsid w:val="0052182A"/>
    <w:rsid w:val="00521E88"/>
    <w:rsid w:val="0052247B"/>
    <w:rsid w:val="005231C3"/>
    <w:rsid w:val="00523FA3"/>
    <w:rsid w:val="00524A95"/>
    <w:rsid w:val="00524EF7"/>
    <w:rsid w:val="00524FA7"/>
    <w:rsid w:val="005258EF"/>
    <w:rsid w:val="00525C2D"/>
    <w:rsid w:val="005266A6"/>
    <w:rsid w:val="00527951"/>
    <w:rsid w:val="00527BA9"/>
    <w:rsid w:val="005302F5"/>
    <w:rsid w:val="00530DE1"/>
    <w:rsid w:val="0053131D"/>
    <w:rsid w:val="00531725"/>
    <w:rsid w:val="005318D2"/>
    <w:rsid w:val="005321B5"/>
    <w:rsid w:val="00532D67"/>
    <w:rsid w:val="005332CF"/>
    <w:rsid w:val="0053400B"/>
    <w:rsid w:val="00534193"/>
    <w:rsid w:val="00535B24"/>
    <w:rsid w:val="00536119"/>
    <w:rsid w:val="005367DA"/>
    <w:rsid w:val="005368F9"/>
    <w:rsid w:val="00536BC4"/>
    <w:rsid w:val="0053785A"/>
    <w:rsid w:val="00537DB4"/>
    <w:rsid w:val="00540076"/>
    <w:rsid w:val="00540258"/>
    <w:rsid w:val="005403A2"/>
    <w:rsid w:val="00540EDA"/>
    <w:rsid w:val="00541A90"/>
    <w:rsid w:val="00541AD5"/>
    <w:rsid w:val="00541BCB"/>
    <w:rsid w:val="0054238B"/>
    <w:rsid w:val="005426CB"/>
    <w:rsid w:val="005426F4"/>
    <w:rsid w:val="00542E90"/>
    <w:rsid w:val="00543517"/>
    <w:rsid w:val="00543560"/>
    <w:rsid w:val="00543CAE"/>
    <w:rsid w:val="005447E8"/>
    <w:rsid w:val="005448D6"/>
    <w:rsid w:val="005454FC"/>
    <w:rsid w:val="00545C05"/>
    <w:rsid w:val="00545EFF"/>
    <w:rsid w:val="00546BEF"/>
    <w:rsid w:val="005475E0"/>
    <w:rsid w:val="00547764"/>
    <w:rsid w:val="00547D7E"/>
    <w:rsid w:val="00547E92"/>
    <w:rsid w:val="005502C3"/>
    <w:rsid w:val="00551E7B"/>
    <w:rsid w:val="00552C31"/>
    <w:rsid w:val="0055322E"/>
    <w:rsid w:val="00553E31"/>
    <w:rsid w:val="00556A0D"/>
    <w:rsid w:val="005571C6"/>
    <w:rsid w:val="005574C1"/>
    <w:rsid w:val="00557C24"/>
    <w:rsid w:val="005603FC"/>
    <w:rsid w:val="00560472"/>
    <w:rsid w:val="0056117D"/>
    <w:rsid w:val="00561A00"/>
    <w:rsid w:val="00563539"/>
    <w:rsid w:val="00563AD3"/>
    <w:rsid w:val="00563EFF"/>
    <w:rsid w:val="0056472A"/>
    <w:rsid w:val="00564A68"/>
    <w:rsid w:val="00564F47"/>
    <w:rsid w:val="00565044"/>
    <w:rsid w:val="005652A5"/>
    <w:rsid w:val="00566CAE"/>
    <w:rsid w:val="00567AC4"/>
    <w:rsid w:val="0057014E"/>
    <w:rsid w:val="0057017E"/>
    <w:rsid w:val="00570C71"/>
    <w:rsid w:val="00571191"/>
    <w:rsid w:val="00571404"/>
    <w:rsid w:val="00571769"/>
    <w:rsid w:val="0057232E"/>
    <w:rsid w:val="005725FE"/>
    <w:rsid w:val="00572734"/>
    <w:rsid w:val="00572844"/>
    <w:rsid w:val="00573C42"/>
    <w:rsid w:val="00574221"/>
    <w:rsid w:val="00574689"/>
    <w:rsid w:val="005747A2"/>
    <w:rsid w:val="00574D13"/>
    <w:rsid w:val="00575B0E"/>
    <w:rsid w:val="00575C32"/>
    <w:rsid w:val="00576221"/>
    <w:rsid w:val="0057661A"/>
    <w:rsid w:val="00576694"/>
    <w:rsid w:val="00576840"/>
    <w:rsid w:val="00576F3F"/>
    <w:rsid w:val="00577181"/>
    <w:rsid w:val="005774CB"/>
    <w:rsid w:val="00580255"/>
    <w:rsid w:val="00580487"/>
    <w:rsid w:val="0058138C"/>
    <w:rsid w:val="005826AB"/>
    <w:rsid w:val="00582880"/>
    <w:rsid w:val="00583140"/>
    <w:rsid w:val="005831E4"/>
    <w:rsid w:val="00583299"/>
    <w:rsid w:val="00583356"/>
    <w:rsid w:val="00583E82"/>
    <w:rsid w:val="0058578B"/>
    <w:rsid w:val="0058579A"/>
    <w:rsid w:val="00585BC3"/>
    <w:rsid w:val="00585E9D"/>
    <w:rsid w:val="00587542"/>
    <w:rsid w:val="005877F8"/>
    <w:rsid w:val="00587D6D"/>
    <w:rsid w:val="00587EF1"/>
    <w:rsid w:val="005906CD"/>
    <w:rsid w:val="00591A6D"/>
    <w:rsid w:val="005930F2"/>
    <w:rsid w:val="00593226"/>
    <w:rsid w:val="005935A1"/>
    <w:rsid w:val="0059459F"/>
    <w:rsid w:val="005947D3"/>
    <w:rsid w:val="0059501D"/>
    <w:rsid w:val="00595834"/>
    <w:rsid w:val="00595E16"/>
    <w:rsid w:val="005968B8"/>
    <w:rsid w:val="00596933"/>
    <w:rsid w:val="00596AB4"/>
    <w:rsid w:val="0059718F"/>
    <w:rsid w:val="00597ADF"/>
    <w:rsid w:val="005A037C"/>
    <w:rsid w:val="005A05A2"/>
    <w:rsid w:val="005A0B9F"/>
    <w:rsid w:val="005A1D4D"/>
    <w:rsid w:val="005A22A8"/>
    <w:rsid w:val="005A23CD"/>
    <w:rsid w:val="005A23E5"/>
    <w:rsid w:val="005A2896"/>
    <w:rsid w:val="005A2969"/>
    <w:rsid w:val="005A5420"/>
    <w:rsid w:val="005A5CC2"/>
    <w:rsid w:val="005A5F88"/>
    <w:rsid w:val="005A68A4"/>
    <w:rsid w:val="005A69A8"/>
    <w:rsid w:val="005A6CE8"/>
    <w:rsid w:val="005A728D"/>
    <w:rsid w:val="005A73AF"/>
    <w:rsid w:val="005A7972"/>
    <w:rsid w:val="005A7A3F"/>
    <w:rsid w:val="005B2078"/>
    <w:rsid w:val="005B20D8"/>
    <w:rsid w:val="005B30CB"/>
    <w:rsid w:val="005B3631"/>
    <w:rsid w:val="005B4809"/>
    <w:rsid w:val="005B48D7"/>
    <w:rsid w:val="005B4993"/>
    <w:rsid w:val="005B5668"/>
    <w:rsid w:val="005B5C13"/>
    <w:rsid w:val="005B643C"/>
    <w:rsid w:val="005B65ED"/>
    <w:rsid w:val="005B6763"/>
    <w:rsid w:val="005C1F25"/>
    <w:rsid w:val="005C22D1"/>
    <w:rsid w:val="005C3200"/>
    <w:rsid w:val="005C3B93"/>
    <w:rsid w:val="005C40B4"/>
    <w:rsid w:val="005C46AE"/>
    <w:rsid w:val="005C5FD6"/>
    <w:rsid w:val="005C680C"/>
    <w:rsid w:val="005C6B0A"/>
    <w:rsid w:val="005C7B09"/>
    <w:rsid w:val="005C7B4F"/>
    <w:rsid w:val="005D0F2A"/>
    <w:rsid w:val="005D1771"/>
    <w:rsid w:val="005D1B6B"/>
    <w:rsid w:val="005D2290"/>
    <w:rsid w:val="005D298F"/>
    <w:rsid w:val="005D5313"/>
    <w:rsid w:val="005D56FB"/>
    <w:rsid w:val="005D5B59"/>
    <w:rsid w:val="005D5E40"/>
    <w:rsid w:val="005D6C69"/>
    <w:rsid w:val="005D729B"/>
    <w:rsid w:val="005D79BE"/>
    <w:rsid w:val="005D7DBE"/>
    <w:rsid w:val="005E17A3"/>
    <w:rsid w:val="005E1AAB"/>
    <w:rsid w:val="005E1B3B"/>
    <w:rsid w:val="005E261E"/>
    <w:rsid w:val="005E26C9"/>
    <w:rsid w:val="005E2F22"/>
    <w:rsid w:val="005E3501"/>
    <w:rsid w:val="005E37F8"/>
    <w:rsid w:val="005E4BB4"/>
    <w:rsid w:val="005E4F0B"/>
    <w:rsid w:val="005E51E1"/>
    <w:rsid w:val="005E5DC8"/>
    <w:rsid w:val="005E5F5F"/>
    <w:rsid w:val="005E68A4"/>
    <w:rsid w:val="005E737F"/>
    <w:rsid w:val="005E76B9"/>
    <w:rsid w:val="005E77E1"/>
    <w:rsid w:val="005E7D1D"/>
    <w:rsid w:val="005E7E9E"/>
    <w:rsid w:val="005E7FF5"/>
    <w:rsid w:val="005F04F5"/>
    <w:rsid w:val="005F094E"/>
    <w:rsid w:val="005F1D90"/>
    <w:rsid w:val="005F257D"/>
    <w:rsid w:val="005F2E55"/>
    <w:rsid w:val="005F2E7B"/>
    <w:rsid w:val="005F3273"/>
    <w:rsid w:val="005F41D9"/>
    <w:rsid w:val="005F4785"/>
    <w:rsid w:val="005F55F9"/>
    <w:rsid w:val="005F59BD"/>
    <w:rsid w:val="005F5C2F"/>
    <w:rsid w:val="005F6DCE"/>
    <w:rsid w:val="005F72C8"/>
    <w:rsid w:val="005F7BED"/>
    <w:rsid w:val="0060051C"/>
    <w:rsid w:val="00600D48"/>
    <w:rsid w:val="00601267"/>
    <w:rsid w:val="00603F6A"/>
    <w:rsid w:val="0060501A"/>
    <w:rsid w:val="006050C4"/>
    <w:rsid w:val="00606139"/>
    <w:rsid w:val="006063CA"/>
    <w:rsid w:val="00606973"/>
    <w:rsid w:val="00606BF0"/>
    <w:rsid w:val="00606EAB"/>
    <w:rsid w:val="00606FFC"/>
    <w:rsid w:val="00610AC1"/>
    <w:rsid w:val="00610CDB"/>
    <w:rsid w:val="00610DA3"/>
    <w:rsid w:val="00611131"/>
    <w:rsid w:val="006117BC"/>
    <w:rsid w:val="006120E1"/>
    <w:rsid w:val="006122CA"/>
    <w:rsid w:val="00612AF8"/>
    <w:rsid w:val="00612C8E"/>
    <w:rsid w:val="00612E5F"/>
    <w:rsid w:val="006132C3"/>
    <w:rsid w:val="006141D6"/>
    <w:rsid w:val="00614208"/>
    <w:rsid w:val="006151E8"/>
    <w:rsid w:val="006152E2"/>
    <w:rsid w:val="00615B91"/>
    <w:rsid w:val="00616533"/>
    <w:rsid w:val="00616ED8"/>
    <w:rsid w:val="00617673"/>
    <w:rsid w:val="00621DEA"/>
    <w:rsid w:val="006231A5"/>
    <w:rsid w:val="00623443"/>
    <w:rsid w:val="0062367E"/>
    <w:rsid w:val="006245C9"/>
    <w:rsid w:val="00624F40"/>
    <w:rsid w:val="00624F53"/>
    <w:rsid w:val="006253AE"/>
    <w:rsid w:val="00625F22"/>
    <w:rsid w:val="0062604D"/>
    <w:rsid w:val="0062648B"/>
    <w:rsid w:val="00626A62"/>
    <w:rsid w:val="00626AFC"/>
    <w:rsid w:val="006279F8"/>
    <w:rsid w:val="0063094C"/>
    <w:rsid w:val="006313F9"/>
    <w:rsid w:val="00632B95"/>
    <w:rsid w:val="00632C5B"/>
    <w:rsid w:val="00633548"/>
    <w:rsid w:val="00634447"/>
    <w:rsid w:val="0063482C"/>
    <w:rsid w:val="0063563C"/>
    <w:rsid w:val="00642B0B"/>
    <w:rsid w:val="00643E22"/>
    <w:rsid w:val="00643EB1"/>
    <w:rsid w:val="0064454C"/>
    <w:rsid w:val="006451D7"/>
    <w:rsid w:val="0064566D"/>
    <w:rsid w:val="00645C87"/>
    <w:rsid w:val="006463FE"/>
    <w:rsid w:val="00647479"/>
    <w:rsid w:val="006507DB"/>
    <w:rsid w:val="006526B6"/>
    <w:rsid w:val="00652E39"/>
    <w:rsid w:val="00652E44"/>
    <w:rsid w:val="00654DCC"/>
    <w:rsid w:val="00654EBB"/>
    <w:rsid w:val="00656C5D"/>
    <w:rsid w:val="006575B3"/>
    <w:rsid w:val="00660416"/>
    <w:rsid w:val="00660E9D"/>
    <w:rsid w:val="0066128C"/>
    <w:rsid w:val="0066228F"/>
    <w:rsid w:val="006628A9"/>
    <w:rsid w:val="00662F2F"/>
    <w:rsid w:val="00663DA7"/>
    <w:rsid w:val="00663DAD"/>
    <w:rsid w:val="00664B0D"/>
    <w:rsid w:val="00665183"/>
    <w:rsid w:val="00665616"/>
    <w:rsid w:val="0066583D"/>
    <w:rsid w:val="00665907"/>
    <w:rsid w:val="0066636E"/>
    <w:rsid w:val="00666B45"/>
    <w:rsid w:val="006677B5"/>
    <w:rsid w:val="00667848"/>
    <w:rsid w:val="00667A5E"/>
    <w:rsid w:val="00667B46"/>
    <w:rsid w:val="006706B5"/>
    <w:rsid w:val="00670B36"/>
    <w:rsid w:val="006726C1"/>
    <w:rsid w:val="00672BBD"/>
    <w:rsid w:val="00674286"/>
    <w:rsid w:val="0067488B"/>
    <w:rsid w:val="00674D4A"/>
    <w:rsid w:val="006760AF"/>
    <w:rsid w:val="006760F1"/>
    <w:rsid w:val="006767A7"/>
    <w:rsid w:val="00676A40"/>
    <w:rsid w:val="00677AF9"/>
    <w:rsid w:val="006802B6"/>
    <w:rsid w:val="00680551"/>
    <w:rsid w:val="00680819"/>
    <w:rsid w:val="00680BCF"/>
    <w:rsid w:val="00680C50"/>
    <w:rsid w:val="00681268"/>
    <w:rsid w:val="006813F2"/>
    <w:rsid w:val="00681449"/>
    <w:rsid w:val="006816E1"/>
    <w:rsid w:val="0068182D"/>
    <w:rsid w:val="006819D3"/>
    <w:rsid w:val="00683229"/>
    <w:rsid w:val="0068527B"/>
    <w:rsid w:val="006852A3"/>
    <w:rsid w:val="006858E0"/>
    <w:rsid w:val="00687EE8"/>
    <w:rsid w:val="00690A99"/>
    <w:rsid w:val="00690C71"/>
    <w:rsid w:val="00690CA1"/>
    <w:rsid w:val="00691897"/>
    <w:rsid w:val="00691975"/>
    <w:rsid w:val="00691BD3"/>
    <w:rsid w:val="00691C63"/>
    <w:rsid w:val="00691DEE"/>
    <w:rsid w:val="00691EC5"/>
    <w:rsid w:val="00693160"/>
    <w:rsid w:val="0069361B"/>
    <w:rsid w:val="00693EA6"/>
    <w:rsid w:val="00694180"/>
    <w:rsid w:val="00694A74"/>
    <w:rsid w:val="00696506"/>
    <w:rsid w:val="0069659F"/>
    <w:rsid w:val="0069665E"/>
    <w:rsid w:val="00696F86"/>
    <w:rsid w:val="00697093"/>
    <w:rsid w:val="006971F7"/>
    <w:rsid w:val="00697207"/>
    <w:rsid w:val="006A12BA"/>
    <w:rsid w:val="006A24B4"/>
    <w:rsid w:val="006A2FF6"/>
    <w:rsid w:val="006A3122"/>
    <w:rsid w:val="006A42FD"/>
    <w:rsid w:val="006A439B"/>
    <w:rsid w:val="006A4F26"/>
    <w:rsid w:val="006A6121"/>
    <w:rsid w:val="006A6BD1"/>
    <w:rsid w:val="006B0020"/>
    <w:rsid w:val="006B0DBA"/>
    <w:rsid w:val="006B1BC6"/>
    <w:rsid w:val="006B2796"/>
    <w:rsid w:val="006B30EF"/>
    <w:rsid w:val="006B38B8"/>
    <w:rsid w:val="006B44DD"/>
    <w:rsid w:val="006B4FED"/>
    <w:rsid w:val="006B50D0"/>
    <w:rsid w:val="006B52ED"/>
    <w:rsid w:val="006B55D0"/>
    <w:rsid w:val="006B5A1D"/>
    <w:rsid w:val="006B6440"/>
    <w:rsid w:val="006B6AA0"/>
    <w:rsid w:val="006B6E7D"/>
    <w:rsid w:val="006B7467"/>
    <w:rsid w:val="006C0E05"/>
    <w:rsid w:val="006C151C"/>
    <w:rsid w:val="006C20A1"/>
    <w:rsid w:val="006C2100"/>
    <w:rsid w:val="006C233F"/>
    <w:rsid w:val="006C2421"/>
    <w:rsid w:val="006C2676"/>
    <w:rsid w:val="006C3297"/>
    <w:rsid w:val="006C3E8D"/>
    <w:rsid w:val="006C54F5"/>
    <w:rsid w:val="006C5554"/>
    <w:rsid w:val="006C59DE"/>
    <w:rsid w:val="006C6053"/>
    <w:rsid w:val="006C6074"/>
    <w:rsid w:val="006C6BBA"/>
    <w:rsid w:val="006C6EFF"/>
    <w:rsid w:val="006C7023"/>
    <w:rsid w:val="006C747B"/>
    <w:rsid w:val="006C75CB"/>
    <w:rsid w:val="006D132E"/>
    <w:rsid w:val="006D1B2A"/>
    <w:rsid w:val="006D31B7"/>
    <w:rsid w:val="006D3FC9"/>
    <w:rsid w:val="006D41E9"/>
    <w:rsid w:val="006D4BC3"/>
    <w:rsid w:val="006D519A"/>
    <w:rsid w:val="006D51E2"/>
    <w:rsid w:val="006D5CF6"/>
    <w:rsid w:val="006D63E9"/>
    <w:rsid w:val="006D64BA"/>
    <w:rsid w:val="006D67FF"/>
    <w:rsid w:val="006D6B7B"/>
    <w:rsid w:val="006D6C67"/>
    <w:rsid w:val="006D6DFA"/>
    <w:rsid w:val="006D7095"/>
    <w:rsid w:val="006D730A"/>
    <w:rsid w:val="006E0826"/>
    <w:rsid w:val="006E0E0A"/>
    <w:rsid w:val="006E1AEB"/>
    <w:rsid w:val="006E1D9F"/>
    <w:rsid w:val="006E205D"/>
    <w:rsid w:val="006E29A0"/>
    <w:rsid w:val="006E490C"/>
    <w:rsid w:val="006E4B30"/>
    <w:rsid w:val="006E553D"/>
    <w:rsid w:val="006E6041"/>
    <w:rsid w:val="006E65FC"/>
    <w:rsid w:val="006E7FA1"/>
    <w:rsid w:val="006F0AFA"/>
    <w:rsid w:val="006F0C79"/>
    <w:rsid w:val="006F102F"/>
    <w:rsid w:val="006F3456"/>
    <w:rsid w:val="006F36F5"/>
    <w:rsid w:val="006F41BB"/>
    <w:rsid w:val="006F49FD"/>
    <w:rsid w:val="006F4B0F"/>
    <w:rsid w:val="006F5333"/>
    <w:rsid w:val="006F5740"/>
    <w:rsid w:val="006F623E"/>
    <w:rsid w:val="006F743B"/>
    <w:rsid w:val="006F7494"/>
    <w:rsid w:val="007013CB"/>
    <w:rsid w:val="00701B6C"/>
    <w:rsid w:val="00702AD6"/>
    <w:rsid w:val="0070310D"/>
    <w:rsid w:val="0070384D"/>
    <w:rsid w:val="00704D81"/>
    <w:rsid w:val="0070535D"/>
    <w:rsid w:val="00705424"/>
    <w:rsid w:val="00705B3D"/>
    <w:rsid w:val="007066A1"/>
    <w:rsid w:val="00706E8D"/>
    <w:rsid w:val="00710086"/>
    <w:rsid w:val="007108B0"/>
    <w:rsid w:val="00710EAA"/>
    <w:rsid w:val="007113AC"/>
    <w:rsid w:val="0071150B"/>
    <w:rsid w:val="00711967"/>
    <w:rsid w:val="00711A82"/>
    <w:rsid w:val="007135AD"/>
    <w:rsid w:val="0071369A"/>
    <w:rsid w:val="0071385D"/>
    <w:rsid w:val="007138EB"/>
    <w:rsid w:val="00714310"/>
    <w:rsid w:val="00714D9C"/>
    <w:rsid w:val="00715576"/>
    <w:rsid w:val="00715598"/>
    <w:rsid w:val="00716857"/>
    <w:rsid w:val="00716EC8"/>
    <w:rsid w:val="00717484"/>
    <w:rsid w:val="00721B42"/>
    <w:rsid w:val="00722442"/>
    <w:rsid w:val="00723450"/>
    <w:rsid w:val="00723D85"/>
    <w:rsid w:val="00724439"/>
    <w:rsid w:val="00726C23"/>
    <w:rsid w:val="00726E54"/>
    <w:rsid w:val="00727F62"/>
    <w:rsid w:val="007301C9"/>
    <w:rsid w:val="0073110D"/>
    <w:rsid w:val="0073128C"/>
    <w:rsid w:val="0073131D"/>
    <w:rsid w:val="007320D2"/>
    <w:rsid w:val="00733BB9"/>
    <w:rsid w:val="00733DC8"/>
    <w:rsid w:val="00733E93"/>
    <w:rsid w:val="00734C38"/>
    <w:rsid w:val="00734DD6"/>
    <w:rsid w:val="007357D0"/>
    <w:rsid w:val="00736CF6"/>
    <w:rsid w:val="007417BA"/>
    <w:rsid w:val="0074195E"/>
    <w:rsid w:val="00741C1C"/>
    <w:rsid w:val="00744BC2"/>
    <w:rsid w:val="00745591"/>
    <w:rsid w:val="00745649"/>
    <w:rsid w:val="00745D93"/>
    <w:rsid w:val="00745F5C"/>
    <w:rsid w:val="007463F0"/>
    <w:rsid w:val="00746451"/>
    <w:rsid w:val="007464EB"/>
    <w:rsid w:val="007478F2"/>
    <w:rsid w:val="00747BCE"/>
    <w:rsid w:val="007501D0"/>
    <w:rsid w:val="007506DF"/>
    <w:rsid w:val="00750864"/>
    <w:rsid w:val="00750A52"/>
    <w:rsid w:val="00750DB0"/>
    <w:rsid w:val="007510B3"/>
    <w:rsid w:val="007526C0"/>
    <w:rsid w:val="00752891"/>
    <w:rsid w:val="00752BFF"/>
    <w:rsid w:val="00753523"/>
    <w:rsid w:val="0075356A"/>
    <w:rsid w:val="007536B4"/>
    <w:rsid w:val="00753EF5"/>
    <w:rsid w:val="00754A29"/>
    <w:rsid w:val="00754FD1"/>
    <w:rsid w:val="007550E7"/>
    <w:rsid w:val="00756C6C"/>
    <w:rsid w:val="00757355"/>
    <w:rsid w:val="007577D6"/>
    <w:rsid w:val="00757AF8"/>
    <w:rsid w:val="00761225"/>
    <w:rsid w:val="00761B82"/>
    <w:rsid w:val="00762409"/>
    <w:rsid w:val="00762635"/>
    <w:rsid w:val="007629A1"/>
    <w:rsid w:val="007629C2"/>
    <w:rsid w:val="00763AB2"/>
    <w:rsid w:val="00764D97"/>
    <w:rsid w:val="00765222"/>
    <w:rsid w:val="0076558B"/>
    <w:rsid w:val="007657D3"/>
    <w:rsid w:val="007657FB"/>
    <w:rsid w:val="00766C84"/>
    <w:rsid w:val="00766F67"/>
    <w:rsid w:val="007677BF"/>
    <w:rsid w:val="00767898"/>
    <w:rsid w:val="00767958"/>
    <w:rsid w:val="00770501"/>
    <w:rsid w:val="00770BDF"/>
    <w:rsid w:val="00770F74"/>
    <w:rsid w:val="0077145D"/>
    <w:rsid w:val="007725AF"/>
    <w:rsid w:val="00773F98"/>
    <w:rsid w:val="00774CC4"/>
    <w:rsid w:val="007750A6"/>
    <w:rsid w:val="007769C7"/>
    <w:rsid w:val="00777050"/>
    <w:rsid w:val="00777672"/>
    <w:rsid w:val="007808A6"/>
    <w:rsid w:val="00780B69"/>
    <w:rsid w:val="007813FC"/>
    <w:rsid w:val="00781800"/>
    <w:rsid w:val="00781AD9"/>
    <w:rsid w:val="00781C48"/>
    <w:rsid w:val="007823CF"/>
    <w:rsid w:val="007824A5"/>
    <w:rsid w:val="007829F4"/>
    <w:rsid w:val="00782B3D"/>
    <w:rsid w:val="007830D3"/>
    <w:rsid w:val="007839C7"/>
    <w:rsid w:val="00783D1B"/>
    <w:rsid w:val="00784650"/>
    <w:rsid w:val="00784F43"/>
    <w:rsid w:val="007855CC"/>
    <w:rsid w:val="00785F5A"/>
    <w:rsid w:val="007874B0"/>
    <w:rsid w:val="0079007E"/>
    <w:rsid w:val="00790098"/>
    <w:rsid w:val="00790136"/>
    <w:rsid w:val="007906A9"/>
    <w:rsid w:val="0079103E"/>
    <w:rsid w:val="0079116D"/>
    <w:rsid w:val="007914E1"/>
    <w:rsid w:val="0079174A"/>
    <w:rsid w:val="0079324E"/>
    <w:rsid w:val="00793711"/>
    <w:rsid w:val="00793B0A"/>
    <w:rsid w:val="00793FE9"/>
    <w:rsid w:val="00794330"/>
    <w:rsid w:val="0079461A"/>
    <w:rsid w:val="007953B8"/>
    <w:rsid w:val="00795DE1"/>
    <w:rsid w:val="00795DF4"/>
    <w:rsid w:val="0079634D"/>
    <w:rsid w:val="00796AE5"/>
    <w:rsid w:val="00797490"/>
    <w:rsid w:val="00797649"/>
    <w:rsid w:val="007A024E"/>
    <w:rsid w:val="007A0FC0"/>
    <w:rsid w:val="007A18B4"/>
    <w:rsid w:val="007A1C1D"/>
    <w:rsid w:val="007A2279"/>
    <w:rsid w:val="007A2348"/>
    <w:rsid w:val="007A243A"/>
    <w:rsid w:val="007A261A"/>
    <w:rsid w:val="007A35DF"/>
    <w:rsid w:val="007A3A03"/>
    <w:rsid w:val="007A3B85"/>
    <w:rsid w:val="007A3C91"/>
    <w:rsid w:val="007A41D6"/>
    <w:rsid w:val="007A42DA"/>
    <w:rsid w:val="007A47E6"/>
    <w:rsid w:val="007A4A8B"/>
    <w:rsid w:val="007A4C65"/>
    <w:rsid w:val="007A5D90"/>
    <w:rsid w:val="007A66D8"/>
    <w:rsid w:val="007A6AF3"/>
    <w:rsid w:val="007A6E07"/>
    <w:rsid w:val="007A7963"/>
    <w:rsid w:val="007B013D"/>
    <w:rsid w:val="007B047F"/>
    <w:rsid w:val="007B0C6B"/>
    <w:rsid w:val="007B13B5"/>
    <w:rsid w:val="007B239B"/>
    <w:rsid w:val="007B28C8"/>
    <w:rsid w:val="007B2CB2"/>
    <w:rsid w:val="007B2F6D"/>
    <w:rsid w:val="007B3501"/>
    <w:rsid w:val="007B37E8"/>
    <w:rsid w:val="007B3E5B"/>
    <w:rsid w:val="007B499D"/>
    <w:rsid w:val="007B5124"/>
    <w:rsid w:val="007B531A"/>
    <w:rsid w:val="007B5612"/>
    <w:rsid w:val="007B5847"/>
    <w:rsid w:val="007B674A"/>
    <w:rsid w:val="007B674B"/>
    <w:rsid w:val="007B6777"/>
    <w:rsid w:val="007B6BB5"/>
    <w:rsid w:val="007B6DFB"/>
    <w:rsid w:val="007B7097"/>
    <w:rsid w:val="007B730F"/>
    <w:rsid w:val="007C07F9"/>
    <w:rsid w:val="007C0BC0"/>
    <w:rsid w:val="007C1647"/>
    <w:rsid w:val="007C292C"/>
    <w:rsid w:val="007C2BC0"/>
    <w:rsid w:val="007C344F"/>
    <w:rsid w:val="007C435B"/>
    <w:rsid w:val="007C4DB7"/>
    <w:rsid w:val="007C5350"/>
    <w:rsid w:val="007C5CE5"/>
    <w:rsid w:val="007C663E"/>
    <w:rsid w:val="007C6692"/>
    <w:rsid w:val="007C70D0"/>
    <w:rsid w:val="007C76F1"/>
    <w:rsid w:val="007D08F9"/>
    <w:rsid w:val="007D0EE9"/>
    <w:rsid w:val="007D0F61"/>
    <w:rsid w:val="007D17F4"/>
    <w:rsid w:val="007D1CE6"/>
    <w:rsid w:val="007D207F"/>
    <w:rsid w:val="007D30CC"/>
    <w:rsid w:val="007D3C2C"/>
    <w:rsid w:val="007D5550"/>
    <w:rsid w:val="007D6257"/>
    <w:rsid w:val="007D6D8D"/>
    <w:rsid w:val="007D727E"/>
    <w:rsid w:val="007D75B2"/>
    <w:rsid w:val="007E0229"/>
    <w:rsid w:val="007E0627"/>
    <w:rsid w:val="007E1112"/>
    <w:rsid w:val="007E124B"/>
    <w:rsid w:val="007E1B70"/>
    <w:rsid w:val="007E1D12"/>
    <w:rsid w:val="007E1E45"/>
    <w:rsid w:val="007E2957"/>
    <w:rsid w:val="007E37EA"/>
    <w:rsid w:val="007E3F64"/>
    <w:rsid w:val="007E43FC"/>
    <w:rsid w:val="007E454D"/>
    <w:rsid w:val="007E4754"/>
    <w:rsid w:val="007E547C"/>
    <w:rsid w:val="007E5B17"/>
    <w:rsid w:val="007E602F"/>
    <w:rsid w:val="007E60F5"/>
    <w:rsid w:val="007E664E"/>
    <w:rsid w:val="007E705B"/>
    <w:rsid w:val="007E745E"/>
    <w:rsid w:val="007E7824"/>
    <w:rsid w:val="007E7983"/>
    <w:rsid w:val="007F02AE"/>
    <w:rsid w:val="007F04F1"/>
    <w:rsid w:val="007F0677"/>
    <w:rsid w:val="007F0791"/>
    <w:rsid w:val="007F153E"/>
    <w:rsid w:val="007F1684"/>
    <w:rsid w:val="007F19DD"/>
    <w:rsid w:val="007F2B0A"/>
    <w:rsid w:val="007F300B"/>
    <w:rsid w:val="007F3653"/>
    <w:rsid w:val="007F37CE"/>
    <w:rsid w:val="007F6109"/>
    <w:rsid w:val="007F611A"/>
    <w:rsid w:val="007F62A9"/>
    <w:rsid w:val="007F6EB9"/>
    <w:rsid w:val="007F70F7"/>
    <w:rsid w:val="008007C3"/>
    <w:rsid w:val="00800A55"/>
    <w:rsid w:val="00801639"/>
    <w:rsid w:val="00802BBB"/>
    <w:rsid w:val="00803535"/>
    <w:rsid w:val="00803F0E"/>
    <w:rsid w:val="00803F54"/>
    <w:rsid w:val="008040E4"/>
    <w:rsid w:val="00804DC8"/>
    <w:rsid w:val="00804F38"/>
    <w:rsid w:val="00805B8B"/>
    <w:rsid w:val="00807E79"/>
    <w:rsid w:val="0081019F"/>
    <w:rsid w:val="008108B6"/>
    <w:rsid w:val="00811E58"/>
    <w:rsid w:val="0081319B"/>
    <w:rsid w:val="008132ED"/>
    <w:rsid w:val="008140FC"/>
    <w:rsid w:val="00814768"/>
    <w:rsid w:val="0081584F"/>
    <w:rsid w:val="00816F43"/>
    <w:rsid w:val="00817B98"/>
    <w:rsid w:val="00820261"/>
    <w:rsid w:val="008210CD"/>
    <w:rsid w:val="00821774"/>
    <w:rsid w:val="008218FA"/>
    <w:rsid w:val="00821B32"/>
    <w:rsid w:val="00821DB2"/>
    <w:rsid w:val="008220B0"/>
    <w:rsid w:val="008224EC"/>
    <w:rsid w:val="00822543"/>
    <w:rsid w:val="0082268E"/>
    <w:rsid w:val="00824547"/>
    <w:rsid w:val="00825180"/>
    <w:rsid w:val="008256BF"/>
    <w:rsid w:val="0082676B"/>
    <w:rsid w:val="008270B9"/>
    <w:rsid w:val="008271A8"/>
    <w:rsid w:val="00827423"/>
    <w:rsid w:val="0082798F"/>
    <w:rsid w:val="008279E9"/>
    <w:rsid w:val="00827A33"/>
    <w:rsid w:val="00827B70"/>
    <w:rsid w:val="00830085"/>
    <w:rsid w:val="008304B6"/>
    <w:rsid w:val="00830CC7"/>
    <w:rsid w:val="008313D3"/>
    <w:rsid w:val="00831568"/>
    <w:rsid w:val="00832CCF"/>
    <w:rsid w:val="00833180"/>
    <w:rsid w:val="008334F5"/>
    <w:rsid w:val="0083353C"/>
    <w:rsid w:val="008344A1"/>
    <w:rsid w:val="008349DB"/>
    <w:rsid w:val="0083576E"/>
    <w:rsid w:val="00835EB4"/>
    <w:rsid w:val="008360DB"/>
    <w:rsid w:val="008378E1"/>
    <w:rsid w:val="00837BF9"/>
    <w:rsid w:val="00840D93"/>
    <w:rsid w:val="00841364"/>
    <w:rsid w:val="00841390"/>
    <w:rsid w:val="00841BBC"/>
    <w:rsid w:val="00841C62"/>
    <w:rsid w:val="00842FAF"/>
    <w:rsid w:val="00843327"/>
    <w:rsid w:val="00843540"/>
    <w:rsid w:val="008435CD"/>
    <w:rsid w:val="00843C88"/>
    <w:rsid w:val="00843DB5"/>
    <w:rsid w:val="0084451D"/>
    <w:rsid w:val="0084541D"/>
    <w:rsid w:val="00845688"/>
    <w:rsid w:val="0084667E"/>
    <w:rsid w:val="00846737"/>
    <w:rsid w:val="00846D5D"/>
    <w:rsid w:val="00846F4C"/>
    <w:rsid w:val="00847538"/>
    <w:rsid w:val="008477D7"/>
    <w:rsid w:val="008479D4"/>
    <w:rsid w:val="00847B0B"/>
    <w:rsid w:val="00850570"/>
    <w:rsid w:val="00850B62"/>
    <w:rsid w:val="00850CF9"/>
    <w:rsid w:val="00851168"/>
    <w:rsid w:val="00851217"/>
    <w:rsid w:val="00851269"/>
    <w:rsid w:val="008532F0"/>
    <w:rsid w:val="00853822"/>
    <w:rsid w:val="0085404B"/>
    <w:rsid w:val="008545AD"/>
    <w:rsid w:val="008556CA"/>
    <w:rsid w:val="00856576"/>
    <w:rsid w:val="008570DE"/>
    <w:rsid w:val="00860437"/>
    <w:rsid w:val="008606F4"/>
    <w:rsid w:val="00860840"/>
    <w:rsid w:val="008608C2"/>
    <w:rsid w:val="00860A6C"/>
    <w:rsid w:val="008622B3"/>
    <w:rsid w:val="00862EBE"/>
    <w:rsid w:val="00864D88"/>
    <w:rsid w:val="00865BDD"/>
    <w:rsid w:val="008667A4"/>
    <w:rsid w:val="00866EE7"/>
    <w:rsid w:val="00870D3F"/>
    <w:rsid w:val="00871BB1"/>
    <w:rsid w:val="00873102"/>
    <w:rsid w:val="0087406F"/>
    <w:rsid w:val="00874830"/>
    <w:rsid w:val="008751AA"/>
    <w:rsid w:val="008754CC"/>
    <w:rsid w:val="00875E70"/>
    <w:rsid w:val="008766ED"/>
    <w:rsid w:val="008776BF"/>
    <w:rsid w:val="00877DD8"/>
    <w:rsid w:val="00880B31"/>
    <w:rsid w:val="00880DBB"/>
    <w:rsid w:val="008821BB"/>
    <w:rsid w:val="00882975"/>
    <w:rsid w:val="008830FB"/>
    <w:rsid w:val="00886243"/>
    <w:rsid w:val="00886A30"/>
    <w:rsid w:val="00886A43"/>
    <w:rsid w:val="008872AB"/>
    <w:rsid w:val="00887A1D"/>
    <w:rsid w:val="00887B24"/>
    <w:rsid w:val="00890C9D"/>
    <w:rsid w:val="00890CE0"/>
    <w:rsid w:val="00891519"/>
    <w:rsid w:val="00891B73"/>
    <w:rsid w:val="00891B84"/>
    <w:rsid w:val="0089296F"/>
    <w:rsid w:val="008945D3"/>
    <w:rsid w:val="00895F67"/>
    <w:rsid w:val="00896F4B"/>
    <w:rsid w:val="00897F0F"/>
    <w:rsid w:val="008A07DB"/>
    <w:rsid w:val="008A31AC"/>
    <w:rsid w:val="008A36F2"/>
    <w:rsid w:val="008A3A96"/>
    <w:rsid w:val="008A3EBF"/>
    <w:rsid w:val="008A49AE"/>
    <w:rsid w:val="008A5DE0"/>
    <w:rsid w:val="008A6414"/>
    <w:rsid w:val="008A6C13"/>
    <w:rsid w:val="008A78B6"/>
    <w:rsid w:val="008A7972"/>
    <w:rsid w:val="008A7ED1"/>
    <w:rsid w:val="008B04CD"/>
    <w:rsid w:val="008B0EF4"/>
    <w:rsid w:val="008B1EE4"/>
    <w:rsid w:val="008B2486"/>
    <w:rsid w:val="008B2A31"/>
    <w:rsid w:val="008B3839"/>
    <w:rsid w:val="008B3A4E"/>
    <w:rsid w:val="008B3A55"/>
    <w:rsid w:val="008B3ABE"/>
    <w:rsid w:val="008B4146"/>
    <w:rsid w:val="008B4777"/>
    <w:rsid w:val="008B4CA0"/>
    <w:rsid w:val="008B52CD"/>
    <w:rsid w:val="008B564E"/>
    <w:rsid w:val="008B5741"/>
    <w:rsid w:val="008B5900"/>
    <w:rsid w:val="008B6213"/>
    <w:rsid w:val="008B6300"/>
    <w:rsid w:val="008B6669"/>
    <w:rsid w:val="008B7347"/>
    <w:rsid w:val="008C01EE"/>
    <w:rsid w:val="008C05E2"/>
    <w:rsid w:val="008C10E0"/>
    <w:rsid w:val="008C1397"/>
    <w:rsid w:val="008C1437"/>
    <w:rsid w:val="008C23EE"/>
    <w:rsid w:val="008C25A0"/>
    <w:rsid w:val="008C3062"/>
    <w:rsid w:val="008C41D1"/>
    <w:rsid w:val="008C4A78"/>
    <w:rsid w:val="008C4AF7"/>
    <w:rsid w:val="008C505E"/>
    <w:rsid w:val="008C557A"/>
    <w:rsid w:val="008C5672"/>
    <w:rsid w:val="008C5E61"/>
    <w:rsid w:val="008C76EF"/>
    <w:rsid w:val="008D046E"/>
    <w:rsid w:val="008D0D93"/>
    <w:rsid w:val="008D13C0"/>
    <w:rsid w:val="008D1A00"/>
    <w:rsid w:val="008D1B09"/>
    <w:rsid w:val="008D1F0D"/>
    <w:rsid w:val="008D3CD0"/>
    <w:rsid w:val="008D3F13"/>
    <w:rsid w:val="008D451A"/>
    <w:rsid w:val="008D50D8"/>
    <w:rsid w:val="008D5CD8"/>
    <w:rsid w:val="008D5F1D"/>
    <w:rsid w:val="008D67F6"/>
    <w:rsid w:val="008D68B1"/>
    <w:rsid w:val="008D6DE2"/>
    <w:rsid w:val="008E02B3"/>
    <w:rsid w:val="008E2490"/>
    <w:rsid w:val="008E4780"/>
    <w:rsid w:val="008E47C3"/>
    <w:rsid w:val="008E4D96"/>
    <w:rsid w:val="008E570E"/>
    <w:rsid w:val="008E6468"/>
    <w:rsid w:val="008E718C"/>
    <w:rsid w:val="008E7ABC"/>
    <w:rsid w:val="008F0220"/>
    <w:rsid w:val="008F032B"/>
    <w:rsid w:val="008F0533"/>
    <w:rsid w:val="008F0D84"/>
    <w:rsid w:val="008F0DA1"/>
    <w:rsid w:val="008F11E9"/>
    <w:rsid w:val="008F1280"/>
    <w:rsid w:val="008F1482"/>
    <w:rsid w:val="008F1F33"/>
    <w:rsid w:val="008F247E"/>
    <w:rsid w:val="008F2D01"/>
    <w:rsid w:val="008F3645"/>
    <w:rsid w:val="008F431E"/>
    <w:rsid w:val="008F4F1F"/>
    <w:rsid w:val="008F5425"/>
    <w:rsid w:val="008F549B"/>
    <w:rsid w:val="008F5A91"/>
    <w:rsid w:val="008F6215"/>
    <w:rsid w:val="008F69E9"/>
    <w:rsid w:val="008F6BB4"/>
    <w:rsid w:val="008F759F"/>
    <w:rsid w:val="00901AC5"/>
    <w:rsid w:val="00902609"/>
    <w:rsid w:val="00902B22"/>
    <w:rsid w:val="00903B6D"/>
    <w:rsid w:val="00903E5F"/>
    <w:rsid w:val="00904B25"/>
    <w:rsid w:val="009051A4"/>
    <w:rsid w:val="0090670C"/>
    <w:rsid w:val="00910B8C"/>
    <w:rsid w:val="009115C8"/>
    <w:rsid w:val="00911778"/>
    <w:rsid w:val="00911A54"/>
    <w:rsid w:val="00911ECE"/>
    <w:rsid w:val="009126CC"/>
    <w:rsid w:val="009133B6"/>
    <w:rsid w:val="00913567"/>
    <w:rsid w:val="009137E6"/>
    <w:rsid w:val="009138B6"/>
    <w:rsid w:val="00913B8C"/>
    <w:rsid w:val="00913C91"/>
    <w:rsid w:val="00914803"/>
    <w:rsid w:val="00914A7A"/>
    <w:rsid w:val="00914D5E"/>
    <w:rsid w:val="00915719"/>
    <w:rsid w:val="009157E8"/>
    <w:rsid w:val="00915A63"/>
    <w:rsid w:val="00915F25"/>
    <w:rsid w:val="009200B0"/>
    <w:rsid w:val="009221A3"/>
    <w:rsid w:val="00922D9F"/>
    <w:rsid w:val="00922EAC"/>
    <w:rsid w:val="00923B9F"/>
    <w:rsid w:val="009246F9"/>
    <w:rsid w:val="00926827"/>
    <w:rsid w:val="00926BC1"/>
    <w:rsid w:val="009279D9"/>
    <w:rsid w:val="00927A70"/>
    <w:rsid w:val="00927CB5"/>
    <w:rsid w:val="00927E0F"/>
    <w:rsid w:val="00927EBB"/>
    <w:rsid w:val="009306EE"/>
    <w:rsid w:val="00931693"/>
    <w:rsid w:val="00931D50"/>
    <w:rsid w:val="00932045"/>
    <w:rsid w:val="00933691"/>
    <w:rsid w:val="0093458F"/>
    <w:rsid w:val="00935C06"/>
    <w:rsid w:val="00936B31"/>
    <w:rsid w:val="00936D94"/>
    <w:rsid w:val="009370CC"/>
    <w:rsid w:val="00937332"/>
    <w:rsid w:val="00937BE9"/>
    <w:rsid w:val="00937C4E"/>
    <w:rsid w:val="009410E2"/>
    <w:rsid w:val="009430D4"/>
    <w:rsid w:val="009432F3"/>
    <w:rsid w:val="00944257"/>
    <w:rsid w:val="0094534C"/>
    <w:rsid w:val="00946AF1"/>
    <w:rsid w:val="00947C45"/>
    <w:rsid w:val="00950B6C"/>
    <w:rsid w:val="00951184"/>
    <w:rsid w:val="00952630"/>
    <w:rsid w:val="009529CB"/>
    <w:rsid w:val="00952B91"/>
    <w:rsid w:val="00953588"/>
    <w:rsid w:val="0095366E"/>
    <w:rsid w:val="00954B94"/>
    <w:rsid w:val="00954D7F"/>
    <w:rsid w:val="00955D69"/>
    <w:rsid w:val="00957162"/>
    <w:rsid w:val="00957DF3"/>
    <w:rsid w:val="00957F93"/>
    <w:rsid w:val="00960799"/>
    <w:rsid w:val="00960914"/>
    <w:rsid w:val="00960D39"/>
    <w:rsid w:val="00961A4E"/>
    <w:rsid w:val="00961E8B"/>
    <w:rsid w:val="00962362"/>
    <w:rsid w:val="00962A43"/>
    <w:rsid w:val="00962DC7"/>
    <w:rsid w:val="00963B3B"/>
    <w:rsid w:val="00964260"/>
    <w:rsid w:val="00964D2D"/>
    <w:rsid w:val="00965335"/>
    <w:rsid w:val="009655F4"/>
    <w:rsid w:val="00965897"/>
    <w:rsid w:val="00967103"/>
    <w:rsid w:val="0097019A"/>
    <w:rsid w:val="009702D0"/>
    <w:rsid w:val="009704A3"/>
    <w:rsid w:val="00971107"/>
    <w:rsid w:val="00972577"/>
    <w:rsid w:val="009732C5"/>
    <w:rsid w:val="00973B02"/>
    <w:rsid w:val="00973C82"/>
    <w:rsid w:val="00973F73"/>
    <w:rsid w:val="0097439D"/>
    <w:rsid w:val="0097445B"/>
    <w:rsid w:val="009749E5"/>
    <w:rsid w:val="00974F1E"/>
    <w:rsid w:val="009754B1"/>
    <w:rsid w:val="00975722"/>
    <w:rsid w:val="009767DC"/>
    <w:rsid w:val="00976D08"/>
    <w:rsid w:val="00977195"/>
    <w:rsid w:val="00980850"/>
    <w:rsid w:val="009809C2"/>
    <w:rsid w:val="00980BA6"/>
    <w:rsid w:val="0098101B"/>
    <w:rsid w:val="0098142A"/>
    <w:rsid w:val="00981ADB"/>
    <w:rsid w:val="00981CC4"/>
    <w:rsid w:val="00981FD8"/>
    <w:rsid w:val="00982E45"/>
    <w:rsid w:val="00983639"/>
    <w:rsid w:val="0098449D"/>
    <w:rsid w:val="00984932"/>
    <w:rsid w:val="009850EE"/>
    <w:rsid w:val="00985A5C"/>
    <w:rsid w:val="00985B70"/>
    <w:rsid w:val="00985C1E"/>
    <w:rsid w:val="009872B0"/>
    <w:rsid w:val="00987ED0"/>
    <w:rsid w:val="00990163"/>
    <w:rsid w:val="0099153C"/>
    <w:rsid w:val="00992295"/>
    <w:rsid w:val="00992413"/>
    <w:rsid w:val="00993C1B"/>
    <w:rsid w:val="0099414C"/>
    <w:rsid w:val="00994CBD"/>
    <w:rsid w:val="009953B2"/>
    <w:rsid w:val="00996599"/>
    <w:rsid w:val="009965CD"/>
    <w:rsid w:val="00996AFB"/>
    <w:rsid w:val="009976B3"/>
    <w:rsid w:val="00997B1B"/>
    <w:rsid w:val="00997DE5"/>
    <w:rsid w:val="009A04F9"/>
    <w:rsid w:val="009A058D"/>
    <w:rsid w:val="009A063C"/>
    <w:rsid w:val="009A1159"/>
    <w:rsid w:val="009A1E51"/>
    <w:rsid w:val="009A266F"/>
    <w:rsid w:val="009A389F"/>
    <w:rsid w:val="009A41D3"/>
    <w:rsid w:val="009A41DA"/>
    <w:rsid w:val="009A4357"/>
    <w:rsid w:val="009A4618"/>
    <w:rsid w:val="009A53BB"/>
    <w:rsid w:val="009A631B"/>
    <w:rsid w:val="009A7877"/>
    <w:rsid w:val="009A7FC4"/>
    <w:rsid w:val="009B0530"/>
    <w:rsid w:val="009B08BE"/>
    <w:rsid w:val="009B09C0"/>
    <w:rsid w:val="009B0B43"/>
    <w:rsid w:val="009B154C"/>
    <w:rsid w:val="009B15B7"/>
    <w:rsid w:val="009B2840"/>
    <w:rsid w:val="009B3177"/>
    <w:rsid w:val="009B3489"/>
    <w:rsid w:val="009B37E9"/>
    <w:rsid w:val="009B3EC0"/>
    <w:rsid w:val="009B41E3"/>
    <w:rsid w:val="009B4337"/>
    <w:rsid w:val="009B4D9F"/>
    <w:rsid w:val="009B50FA"/>
    <w:rsid w:val="009B59C7"/>
    <w:rsid w:val="009B63EC"/>
    <w:rsid w:val="009B706B"/>
    <w:rsid w:val="009B768B"/>
    <w:rsid w:val="009B7DEE"/>
    <w:rsid w:val="009C11C8"/>
    <w:rsid w:val="009C1579"/>
    <w:rsid w:val="009C2655"/>
    <w:rsid w:val="009C2C21"/>
    <w:rsid w:val="009C37AE"/>
    <w:rsid w:val="009C4126"/>
    <w:rsid w:val="009C4F10"/>
    <w:rsid w:val="009C5234"/>
    <w:rsid w:val="009C680A"/>
    <w:rsid w:val="009D0627"/>
    <w:rsid w:val="009D0A5B"/>
    <w:rsid w:val="009D1211"/>
    <w:rsid w:val="009D184C"/>
    <w:rsid w:val="009D1AA2"/>
    <w:rsid w:val="009D25B6"/>
    <w:rsid w:val="009D3C95"/>
    <w:rsid w:val="009D3DEC"/>
    <w:rsid w:val="009D4FA9"/>
    <w:rsid w:val="009D56B4"/>
    <w:rsid w:val="009D648A"/>
    <w:rsid w:val="009D65A0"/>
    <w:rsid w:val="009D6A23"/>
    <w:rsid w:val="009D6FB3"/>
    <w:rsid w:val="009E13E0"/>
    <w:rsid w:val="009E1717"/>
    <w:rsid w:val="009E1F78"/>
    <w:rsid w:val="009E2548"/>
    <w:rsid w:val="009E2A23"/>
    <w:rsid w:val="009E2D69"/>
    <w:rsid w:val="009E3652"/>
    <w:rsid w:val="009E4759"/>
    <w:rsid w:val="009E4896"/>
    <w:rsid w:val="009E48F6"/>
    <w:rsid w:val="009E495E"/>
    <w:rsid w:val="009E545A"/>
    <w:rsid w:val="009E5B38"/>
    <w:rsid w:val="009E5EDE"/>
    <w:rsid w:val="009E609B"/>
    <w:rsid w:val="009E7711"/>
    <w:rsid w:val="009E7AC9"/>
    <w:rsid w:val="009E7B7B"/>
    <w:rsid w:val="009F1064"/>
    <w:rsid w:val="009F22FE"/>
    <w:rsid w:val="009F3F62"/>
    <w:rsid w:val="009F4BE7"/>
    <w:rsid w:val="009F5669"/>
    <w:rsid w:val="009F5795"/>
    <w:rsid w:val="009F5F07"/>
    <w:rsid w:val="009F66E1"/>
    <w:rsid w:val="009F7464"/>
    <w:rsid w:val="009F7772"/>
    <w:rsid w:val="00A007B7"/>
    <w:rsid w:val="00A017D4"/>
    <w:rsid w:val="00A01A07"/>
    <w:rsid w:val="00A01B2E"/>
    <w:rsid w:val="00A02581"/>
    <w:rsid w:val="00A02B11"/>
    <w:rsid w:val="00A03227"/>
    <w:rsid w:val="00A037FC"/>
    <w:rsid w:val="00A03C66"/>
    <w:rsid w:val="00A054A8"/>
    <w:rsid w:val="00A05ABF"/>
    <w:rsid w:val="00A07330"/>
    <w:rsid w:val="00A07C8F"/>
    <w:rsid w:val="00A113D2"/>
    <w:rsid w:val="00A139A8"/>
    <w:rsid w:val="00A153D2"/>
    <w:rsid w:val="00A15C36"/>
    <w:rsid w:val="00A2011C"/>
    <w:rsid w:val="00A212D5"/>
    <w:rsid w:val="00A215F6"/>
    <w:rsid w:val="00A21C0B"/>
    <w:rsid w:val="00A232E2"/>
    <w:rsid w:val="00A23AE6"/>
    <w:rsid w:val="00A247DC"/>
    <w:rsid w:val="00A25386"/>
    <w:rsid w:val="00A25471"/>
    <w:rsid w:val="00A269E1"/>
    <w:rsid w:val="00A26C0E"/>
    <w:rsid w:val="00A27048"/>
    <w:rsid w:val="00A274E7"/>
    <w:rsid w:val="00A279ED"/>
    <w:rsid w:val="00A30A18"/>
    <w:rsid w:val="00A30BCC"/>
    <w:rsid w:val="00A30ED7"/>
    <w:rsid w:val="00A3199C"/>
    <w:rsid w:val="00A31E4D"/>
    <w:rsid w:val="00A3237A"/>
    <w:rsid w:val="00A32C52"/>
    <w:rsid w:val="00A33034"/>
    <w:rsid w:val="00A33A56"/>
    <w:rsid w:val="00A33CF9"/>
    <w:rsid w:val="00A33F97"/>
    <w:rsid w:val="00A353C2"/>
    <w:rsid w:val="00A35606"/>
    <w:rsid w:val="00A356DD"/>
    <w:rsid w:val="00A35C9E"/>
    <w:rsid w:val="00A36597"/>
    <w:rsid w:val="00A379FD"/>
    <w:rsid w:val="00A37F63"/>
    <w:rsid w:val="00A40399"/>
    <w:rsid w:val="00A40BFB"/>
    <w:rsid w:val="00A40C57"/>
    <w:rsid w:val="00A41F69"/>
    <w:rsid w:val="00A42601"/>
    <w:rsid w:val="00A4282E"/>
    <w:rsid w:val="00A44CDF"/>
    <w:rsid w:val="00A45AA7"/>
    <w:rsid w:val="00A471E5"/>
    <w:rsid w:val="00A47215"/>
    <w:rsid w:val="00A5002F"/>
    <w:rsid w:val="00A51252"/>
    <w:rsid w:val="00A51922"/>
    <w:rsid w:val="00A51DAF"/>
    <w:rsid w:val="00A53695"/>
    <w:rsid w:val="00A53D13"/>
    <w:rsid w:val="00A54BBB"/>
    <w:rsid w:val="00A56198"/>
    <w:rsid w:val="00A568B8"/>
    <w:rsid w:val="00A57A6A"/>
    <w:rsid w:val="00A600A3"/>
    <w:rsid w:val="00A600DF"/>
    <w:rsid w:val="00A60926"/>
    <w:rsid w:val="00A60DF5"/>
    <w:rsid w:val="00A61C67"/>
    <w:rsid w:val="00A626C6"/>
    <w:rsid w:val="00A62AE1"/>
    <w:rsid w:val="00A63136"/>
    <w:rsid w:val="00A63499"/>
    <w:rsid w:val="00A63823"/>
    <w:rsid w:val="00A6459E"/>
    <w:rsid w:val="00A64864"/>
    <w:rsid w:val="00A64C04"/>
    <w:rsid w:val="00A65347"/>
    <w:rsid w:val="00A665A0"/>
    <w:rsid w:val="00A66AB0"/>
    <w:rsid w:val="00A6741C"/>
    <w:rsid w:val="00A67C81"/>
    <w:rsid w:val="00A71544"/>
    <w:rsid w:val="00A72689"/>
    <w:rsid w:val="00A72721"/>
    <w:rsid w:val="00A740B5"/>
    <w:rsid w:val="00A74340"/>
    <w:rsid w:val="00A75434"/>
    <w:rsid w:val="00A76323"/>
    <w:rsid w:val="00A768E5"/>
    <w:rsid w:val="00A76949"/>
    <w:rsid w:val="00A76B93"/>
    <w:rsid w:val="00A76F96"/>
    <w:rsid w:val="00A77008"/>
    <w:rsid w:val="00A77F15"/>
    <w:rsid w:val="00A8013B"/>
    <w:rsid w:val="00A80263"/>
    <w:rsid w:val="00A80392"/>
    <w:rsid w:val="00A8067D"/>
    <w:rsid w:val="00A80CB3"/>
    <w:rsid w:val="00A816F4"/>
    <w:rsid w:val="00A81CB1"/>
    <w:rsid w:val="00A82B0E"/>
    <w:rsid w:val="00A834CB"/>
    <w:rsid w:val="00A83FE1"/>
    <w:rsid w:val="00A84230"/>
    <w:rsid w:val="00A848F7"/>
    <w:rsid w:val="00A85FCC"/>
    <w:rsid w:val="00A86AC6"/>
    <w:rsid w:val="00A86D15"/>
    <w:rsid w:val="00A90EE4"/>
    <w:rsid w:val="00A915E6"/>
    <w:rsid w:val="00A92032"/>
    <w:rsid w:val="00A9391E"/>
    <w:rsid w:val="00A93B71"/>
    <w:rsid w:val="00A94C10"/>
    <w:rsid w:val="00A958EF"/>
    <w:rsid w:val="00A97038"/>
    <w:rsid w:val="00A97104"/>
    <w:rsid w:val="00A97325"/>
    <w:rsid w:val="00A976E2"/>
    <w:rsid w:val="00A97B3D"/>
    <w:rsid w:val="00AA0313"/>
    <w:rsid w:val="00AA09AF"/>
    <w:rsid w:val="00AA1150"/>
    <w:rsid w:val="00AA1A15"/>
    <w:rsid w:val="00AA1EEB"/>
    <w:rsid w:val="00AA23DE"/>
    <w:rsid w:val="00AA2FD9"/>
    <w:rsid w:val="00AA336C"/>
    <w:rsid w:val="00AA36A8"/>
    <w:rsid w:val="00AA3DB5"/>
    <w:rsid w:val="00AA414A"/>
    <w:rsid w:val="00AA458A"/>
    <w:rsid w:val="00AA4CDB"/>
    <w:rsid w:val="00AA4E8C"/>
    <w:rsid w:val="00AA54EF"/>
    <w:rsid w:val="00AA5C35"/>
    <w:rsid w:val="00AA635C"/>
    <w:rsid w:val="00AA702C"/>
    <w:rsid w:val="00AB04F0"/>
    <w:rsid w:val="00AB082C"/>
    <w:rsid w:val="00AB0A63"/>
    <w:rsid w:val="00AB0C87"/>
    <w:rsid w:val="00AB1307"/>
    <w:rsid w:val="00AB1881"/>
    <w:rsid w:val="00AB1B87"/>
    <w:rsid w:val="00AB1E6A"/>
    <w:rsid w:val="00AB1FCE"/>
    <w:rsid w:val="00AB2203"/>
    <w:rsid w:val="00AB31D5"/>
    <w:rsid w:val="00AB4421"/>
    <w:rsid w:val="00AB49D2"/>
    <w:rsid w:val="00AB4B67"/>
    <w:rsid w:val="00AB4F5E"/>
    <w:rsid w:val="00AB5018"/>
    <w:rsid w:val="00AB53C2"/>
    <w:rsid w:val="00AB56BB"/>
    <w:rsid w:val="00AB5827"/>
    <w:rsid w:val="00AB5A75"/>
    <w:rsid w:val="00AB76BF"/>
    <w:rsid w:val="00AB7D1E"/>
    <w:rsid w:val="00AC0653"/>
    <w:rsid w:val="00AC20EC"/>
    <w:rsid w:val="00AC2AE7"/>
    <w:rsid w:val="00AC2BE3"/>
    <w:rsid w:val="00AC2CCC"/>
    <w:rsid w:val="00AC3973"/>
    <w:rsid w:val="00AC3E4C"/>
    <w:rsid w:val="00AC4530"/>
    <w:rsid w:val="00AC46E8"/>
    <w:rsid w:val="00AC4713"/>
    <w:rsid w:val="00AC4942"/>
    <w:rsid w:val="00AC516B"/>
    <w:rsid w:val="00AC53FA"/>
    <w:rsid w:val="00AC5AEB"/>
    <w:rsid w:val="00AC675C"/>
    <w:rsid w:val="00AC6C39"/>
    <w:rsid w:val="00AC6ED0"/>
    <w:rsid w:val="00AC7DA4"/>
    <w:rsid w:val="00AD0AB3"/>
    <w:rsid w:val="00AD1179"/>
    <w:rsid w:val="00AD1331"/>
    <w:rsid w:val="00AD21CB"/>
    <w:rsid w:val="00AD2B78"/>
    <w:rsid w:val="00AD3504"/>
    <w:rsid w:val="00AD3FD7"/>
    <w:rsid w:val="00AD4B05"/>
    <w:rsid w:val="00AD526F"/>
    <w:rsid w:val="00AD547A"/>
    <w:rsid w:val="00AD65EE"/>
    <w:rsid w:val="00AD6C89"/>
    <w:rsid w:val="00AD7296"/>
    <w:rsid w:val="00AD73B4"/>
    <w:rsid w:val="00AE05C8"/>
    <w:rsid w:val="00AE10A6"/>
    <w:rsid w:val="00AE10E8"/>
    <w:rsid w:val="00AE115A"/>
    <w:rsid w:val="00AE164A"/>
    <w:rsid w:val="00AE2A5F"/>
    <w:rsid w:val="00AE2B55"/>
    <w:rsid w:val="00AE2FB0"/>
    <w:rsid w:val="00AE3210"/>
    <w:rsid w:val="00AE39C0"/>
    <w:rsid w:val="00AE54FF"/>
    <w:rsid w:val="00AE5DF7"/>
    <w:rsid w:val="00AE6021"/>
    <w:rsid w:val="00AE7B7A"/>
    <w:rsid w:val="00AF0E8D"/>
    <w:rsid w:val="00AF1F82"/>
    <w:rsid w:val="00AF201F"/>
    <w:rsid w:val="00AF2055"/>
    <w:rsid w:val="00AF207B"/>
    <w:rsid w:val="00AF2737"/>
    <w:rsid w:val="00AF5014"/>
    <w:rsid w:val="00AF5024"/>
    <w:rsid w:val="00AF50FE"/>
    <w:rsid w:val="00AF5265"/>
    <w:rsid w:val="00AF54A2"/>
    <w:rsid w:val="00AF5D4F"/>
    <w:rsid w:val="00AF6503"/>
    <w:rsid w:val="00AF7B29"/>
    <w:rsid w:val="00B00DB7"/>
    <w:rsid w:val="00B01131"/>
    <w:rsid w:val="00B018A7"/>
    <w:rsid w:val="00B01FA6"/>
    <w:rsid w:val="00B03799"/>
    <w:rsid w:val="00B038C4"/>
    <w:rsid w:val="00B03BAA"/>
    <w:rsid w:val="00B043AA"/>
    <w:rsid w:val="00B0443D"/>
    <w:rsid w:val="00B04F16"/>
    <w:rsid w:val="00B05399"/>
    <w:rsid w:val="00B05DDC"/>
    <w:rsid w:val="00B06870"/>
    <w:rsid w:val="00B06872"/>
    <w:rsid w:val="00B07249"/>
    <w:rsid w:val="00B12F93"/>
    <w:rsid w:val="00B13280"/>
    <w:rsid w:val="00B1381D"/>
    <w:rsid w:val="00B138E7"/>
    <w:rsid w:val="00B13B09"/>
    <w:rsid w:val="00B13E8D"/>
    <w:rsid w:val="00B1443E"/>
    <w:rsid w:val="00B14E63"/>
    <w:rsid w:val="00B1524D"/>
    <w:rsid w:val="00B1550F"/>
    <w:rsid w:val="00B15B78"/>
    <w:rsid w:val="00B161BA"/>
    <w:rsid w:val="00B16C0C"/>
    <w:rsid w:val="00B170E4"/>
    <w:rsid w:val="00B20544"/>
    <w:rsid w:val="00B20910"/>
    <w:rsid w:val="00B22B7E"/>
    <w:rsid w:val="00B23BA4"/>
    <w:rsid w:val="00B2483B"/>
    <w:rsid w:val="00B25081"/>
    <w:rsid w:val="00B25223"/>
    <w:rsid w:val="00B26061"/>
    <w:rsid w:val="00B267C9"/>
    <w:rsid w:val="00B271AF"/>
    <w:rsid w:val="00B27717"/>
    <w:rsid w:val="00B27805"/>
    <w:rsid w:val="00B303C6"/>
    <w:rsid w:val="00B305EA"/>
    <w:rsid w:val="00B3061E"/>
    <w:rsid w:val="00B311BB"/>
    <w:rsid w:val="00B3129B"/>
    <w:rsid w:val="00B32476"/>
    <w:rsid w:val="00B342FC"/>
    <w:rsid w:val="00B3452B"/>
    <w:rsid w:val="00B34897"/>
    <w:rsid w:val="00B36431"/>
    <w:rsid w:val="00B36C57"/>
    <w:rsid w:val="00B37474"/>
    <w:rsid w:val="00B37C1D"/>
    <w:rsid w:val="00B37E7B"/>
    <w:rsid w:val="00B405CA"/>
    <w:rsid w:val="00B408BA"/>
    <w:rsid w:val="00B40B21"/>
    <w:rsid w:val="00B4144B"/>
    <w:rsid w:val="00B41BA4"/>
    <w:rsid w:val="00B41EE0"/>
    <w:rsid w:val="00B423AC"/>
    <w:rsid w:val="00B430E6"/>
    <w:rsid w:val="00B44DF8"/>
    <w:rsid w:val="00B45314"/>
    <w:rsid w:val="00B45756"/>
    <w:rsid w:val="00B459F5"/>
    <w:rsid w:val="00B45C78"/>
    <w:rsid w:val="00B47709"/>
    <w:rsid w:val="00B4773A"/>
    <w:rsid w:val="00B50279"/>
    <w:rsid w:val="00B50C16"/>
    <w:rsid w:val="00B50F2D"/>
    <w:rsid w:val="00B51437"/>
    <w:rsid w:val="00B51669"/>
    <w:rsid w:val="00B52419"/>
    <w:rsid w:val="00B52AFA"/>
    <w:rsid w:val="00B536C5"/>
    <w:rsid w:val="00B53AA6"/>
    <w:rsid w:val="00B54EA1"/>
    <w:rsid w:val="00B56261"/>
    <w:rsid w:val="00B568F3"/>
    <w:rsid w:val="00B56CA7"/>
    <w:rsid w:val="00B56D1C"/>
    <w:rsid w:val="00B60369"/>
    <w:rsid w:val="00B604FE"/>
    <w:rsid w:val="00B60C09"/>
    <w:rsid w:val="00B60F1B"/>
    <w:rsid w:val="00B61799"/>
    <w:rsid w:val="00B62670"/>
    <w:rsid w:val="00B62DD1"/>
    <w:rsid w:val="00B62EA1"/>
    <w:rsid w:val="00B63A06"/>
    <w:rsid w:val="00B64D0A"/>
    <w:rsid w:val="00B655E3"/>
    <w:rsid w:val="00B6561C"/>
    <w:rsid w:val="00B66108"/>
    <w:rsid w:val="00B66D58"/>
    <w:rsid w:val="00B66FEF"/>
    <w:rsid w:val="00B67397"/>
    <w:rsid w:val="00B67E46"/>
    <w:rsid w:val="00B70BBB"/>
    <w:rsid w:val="00B70D72"/>
    <w:rsid w:val="00B70DCA"/>
    <w:rsid w:val="00B70FEF"/>
    <w:rsid w:val="00B711E9"/>
    <w:rsid w:val="00B715FD"/>
    <w:rsid w:val="00B71868"/>
    <w:rsid w:val="00B71925"/>
    <w:rsid w:val="00B71C24"/>
    <w:rsid w:val="00B727C7"/>
    <w:rsid w:val="00B72C7B"/>
    <w:rsid w:val="00B72D93"/>
    <w:rsid w:val="00B72E8E"/>
    <w:rsid w:val="00B741CC"/>
    <w:rsid w:val="00B74F5A"/>
    <w:rsid w:val="00B753B8"/>
    <w:rsid w:val="00B7552A"/>
    <w:rsid w:val="00B75F56"/>
    <w:rsid w:val="00B76453"/>
    <w:rsid w:val="00B76A88"/>
    <w:rsid w:val="00B77046"/>
    <w:rsid w:val="00B77FA8"/>
    <w:rsid w:val="00B80C66"/>
    <w:rsid w:val="00B81D56"/>
    <w:rsid w:val="00B828CA"/>
    <w:rsid w:val="00B82F4D"/>
    <w:rsid w:val="00B83F23"/>
    <w:rsid w:val="00B84020"/>
    <w:rsid w:val="00B8407E"/>
    <w:rsid w:val="00B84486"/>
    <w:rsid w:val="00B84519"/>
    <w:rsid w:val="00B84861"/>
    <w:rsid w:val="00B84EE7"/>
    <w:rsid w:val="00B852AD"/>
    <w:rsid w:val="00B85386"/>
    <w:rsid w:val="00B854A2"/>
    <w:rsid w:val="00B86377"/>
    <w:rsid w:val="00B877CB"/>
    <w:rsid w:val="00B87812"/>
    <w:rsid w:val="00B87A5D"/>
    <w:rsid w:val="00B90C91"/>
    <w:rsid w:val="00B91055"/>
    <w:rsid w:val="00B9173E"/>
    <w:rsid w:val="00B92CFF"/>
    <w:rsid w:val="00B93652"/>
    <w:rsid w:val="00B937DD"/>
    <w:rsid w:val="00B9445D"/>
    <w:rsid w:val="00B94637"/>
    <w:rsid w:val="00B94976"/>
    <w:rsid w:val="00B95A62"/>
    <w:rsid w:val="00B96982"/>
    <w:rsid w:val="00B96FFE"/>
    <w:rsid w:val="00B970E0"/>
    <w:rsid w:val="00B97B1F"/>
    <w:rsid w:val="00BA0B66"/>
    <w:rsid w:val="00BA0DDC"/>
    <w:rsid w:val="00BA103C"/>
    <w:rsid w:val="00BA1731"/>
    <w:rsid w:val="00BA2389"/>
    <w:rsid w:val="00BA2857"/>
    <w:rsid w:val="00BA4293"/>
    <w:rsid w:val="00BA4884"/>
    <w:rsid w:val="00BA5196"/>
    <w:rsid w:val="00BA5C0B"/>
    <w:rsid w:val="00BA5FC0"/>
    <w:rsid w:val="00BA731B"/>
    <w:rsid w:val="00BA734C"/>
    <w:rsid w:val="00BA7DD1"/>
    <w:rsid w:val="00BA7F61"/>
    <w:rsid w:val="00BB04E0"/>
    <w:rsid w:val="00BB0926"/>
    <w:rsid w:val="00BB1C01"/>
    <w:rsid w:val="00BB22D4"/>
    <w:rsid w:val="00BB39D7"/>
    <w:rsid w:val="00BB3AE7"/>
    <w:rsid w:val="00BB3F2D"/>
    <w:rsid w:val="00BB4D75"/>
    <w:rsid w:val="00BB5A22"/>
    <w:rsid w:val="00BB5CCA"/>
    <w:rsid w:val="00BB5EEE"/>
    <w:rsid w:val="00BB613D"/>
    <w:rsid w:val="00BB7D5C"/>
    <w:rsid w:val="00BB7E26"/>
    <w:rsid w:val="00BC172C"/>
    <w:rsid w:val="00BC2F52"/>
    <w:rsid w:val="00BC369A"/>
    <w:rsid w:val="00BC36B1"/>
    <w:rsid w:val="00BC392F"/>
    <w:rsid w:val="00BC3DD8"/>
    <w:rsid w:val="00BC3E33"/>
    <w:rsid w:val="00BC4254"/>
    <w:rsid w:val="00BC4301"/>
    <w:rsid w:val="00BC540E"/>
    <w:rsid w:val="00BC54B4"/>
    <w:rsid w:val="00BC5A35"/>
    <w:rsid w:val="00BC5CDF"/>
    <w:rsid w:val="00BC6223"/>
    <w:rsid w:val="00BC6EFA"/>
    <w:rsid w:val="00BC726F"/>
    <w:rsid w:val="00BC7CF5"/>
    <w:rsid w:val="00BD076B"/>
    <w:rsid w:val="00BD228E"/>
    <w:rsid w:val="00BD3493"/>
    <w:rsid w:val="00BD3612"/>
    <w:rsid w:val="00BD3E53"/>
    <w:rsid w:val="00BD4A5F"/>
    <w:rsid w:val="00BD543B"/>
    <w:rsid w:val="00BD5AF5"/>
    <w:rsid w:val="00BD609C"/>
    <w:rsid w:val="00BD62B6"/>
    <w:rsid w:val="00BD6867"/>
    <w:rsid w:val="00BD6B51"/>
    <w:rsid w:val="00BD6B9A"/>
    <w:rsid w:val="00BD7677"/>
    <w:rsid w:val="00BE1621"/>
    <w:rsid w:val="00BE1A84"/>
    <w:rsid w:val="00BE333B"/>
    <w:rsid w:val="00BE3687"/>
    <w:rsid w:val="00BE390B"/>
    <w:rsid w:val="00BE4720"/>
    <w:rsid w:val="00BE574C"/>
    <w:rsid w:val="00BE5944"/>
    <w:rsid w:val="00BE59F7"/>
    <w:rsid w:val="00BE5CBF"/>
    <w:rsid w:val="00BE6E23"/>
    <w:rsid w:val="00BE6F23"/>
    <w:rsid w:val="00BF0240"/>
    <w:rsid w:val="00BF0606"/>
    <w:rsid w:val="00BF11FB"/>
    <w:rsid w:val="00BF16D2"/>
    <w:rsid w:val="00BF261A"/>
    <w:rsid w:val="00BF2A4A"/>
    <w:rsid w:val="00BF32CE"/>
    <w:rsid w:val="00BF32E4"/>
    <w:rsid w:val="00BF4F07"/>
    <w:rsid w:val="00BF5075"/>
    <w:rsid w:val="00BF50F7"/>
    <w:rsid w:val="00BF6459"/>
    <w:rsid w:val="00BF649A"/>
    <w:rsid w:val="00BF7A8E"/>
    <w:rsid w:val="00C00CBE"/>
    <w:rsid w:val="00C01E81"/>
    <w:rsid w:val="00C02277"/>
    <w:rsid w:val="00C0244F"/>
    <w:rsid w:val="00C025FF"/>
    <w:rsid w:val="00C02E96"/>
    <w:rsid w:val="00C035BF"/>
    <w:rsid w:val="00C03A9C"/>
    <w:rsid w:val="00C0497D"/>
    <w:rsid w:val="00C04D87"/>
    <w:rsid w:val="00C04F4F"/>
    <w:rsid w:val="00C058ED"/>
    <w:rsid w:val="00C06F4B"/>
    <w:rsid w:val="00C06FB8"/>
    <w:rsid w:val="00C10FEA"/>
    <w:rsid w:val="00C11E0D"/>
    <w:rsid w:val="00C154AC"/>
    <w:rsid w:val="00C156AF"/>
    <w:rsid w:val="00C15D51"/>
    <w:rsid w:val="00C1608C"/>
    <w:rsid w:val="00C16F63"/>
    <w:rsid w:val="00C178C0"/>
    <w:rsid w:val="00C21ADF"/>
    <w:rsid w:val="00C21F71"/>
    <w:rsid w:val="00C23D37"/>
    <w:rsid w:val="00C25359"/>
    <w:rsid w:val="00C25AAA"/>
    <w:rsid w:val="00C25B2F"/>
    <w:rsid w:val="00C26351"/>
    <w:rsid w:val="00C2680A"/>
    <w:rsid w:val="00C26C22"/>
    <w:rsid w:val="00C270D9"/>
    <w:rsid w:val="00C27B38"/>
    <w:rsid w:val="00C30440"/>
    <w:rsid w:val="00C307AB"/>
    <w:rsid w:val="00C31B51"/>
    <w:rsid w:val="00C31C6D"/>
    <w:rsid w:val="00C32B38"/>
    <w:rsid w:val="00C32B40"/>
    <w:rsid w:val="00C3398C"/>
    <w:rsid w:val="00C33A7B"/>
    <w:rsid w:val="00C33D73"/>
    <w:rsid w:val="00C3489A"/>
    <w:rsid w:val="00C348AD"/>
    <w:rsid w:val="00C35200"/>
    <w:rsid w:val="00C3533B"/>
    <w:rsid w:val="00C354C4"/>
    <w:rsid w:val="00C35579"/>
    <w:rsid w:val="00C35B5F"/>
    <w:rsid w:val="00C35FB1"/>
    <w:rsid w:val="00C37823"/>
    <w:rsid w:val="00C37ADE"/>
    <w:rsid w:val="00C37E31"/>
    <w:rsid w:val="00C4093F"/>
    <w:rsid w:val="00C40E32"/>
    <w:rsid w:val="00C41A47"/>
    <w:rsid w:val="00C41FA1"/>
    <w:rsid w:val="00C41FDD"/>
    <w:rsid w:val="00C432C0"/>
    <w:rsid w:val="00C45F1E"/>
    <w:rsid w:val="00C46A39"/>
    <w:rsid w:val="00C46D8E"/>
    <w:rsid w:val="00C47E99"/>
    <w:rsid w:val="00C50301"/>
    <w:rsid w:val="00C516DB"/>
    <w:rsid w:val="00C51A1E"/>
    <w:rsid w:val="00C51E2D"/>
    <w:rsid w:val="00C525C4"/>
    <w:rsid w:val="00C530E2"/>
    <w:rsid w:val="00C530E4"/>
    <w:rsid w:val="00C5396B"/>
    <w:rsid w:val="00C53EF6"/>
    <w:rsid w:val="00C54D90"/>
    <w:rsid w:val="00C552EC"/>
    <w:rsid w:val="00C55D05"/>
    <w:rsid w:val="00C55D51"/>
    <w:rsid w:val="00C57A49"/>
    <w:rsid w:val="00C57F6A"/>
    <w:rsid w:val="00C60D18"/>
    <w:rsid w:val="00C61012"/>
    <w:rsid w:val="00C61386"/>
    <w:rsid w:val="00C61721"/>
    <w:rsid w:val="00C61840"/>
    <w:rsid w:val="00C619CB"/>
    <w:rsid w:val="00C63264"/>
    <w:rsid w:val="00C63602"/>
    <w:rsid w:val="00C64766"/>
    <w:rsid w:val="00C64900"/>
    <w:rsid w:val="00C65295"/>
    <w:rsid w:val="00C65375"/>
    <w:rsid w:val="00C6552F"/>
    <w:rsid w:val="00C65843"/>
    <w:rsid w:val="00C669EC"/>
    <w:rsid w:val="00C6787A"/>
    <w:rsid w:val="00C67DE3"/>
    <w:rsid w:val="00C70E7F"/>
    <w:rsid w:val="00C7114F"/>
    <w:rsid w:val="00C72188"/>
    <w:rsid w:val="00C745AE"/>
    <w:rsid w:val="00C74CC5"/>
    <w:rsid w:val="00C7565D"/>
    <w:rsid w:val="00C76791"/>
    <w:rsid w:val="00C767BD"/>
    <w:rsid w:val="00C76D32"/>
    <w:rsid w:val="00C76F0A"/>
    <w:rsid w:val="00C77463"/>
    <w:rsid w:val="00C774D7"/>
    <w:rsid w:val="00C77985"/>
    <w:rsid w:val="00C8003B"/>
    <w:rsid w:val="00C80448"/>
    <w:rsid w:val="00C80D92"/>
    <w:rsid w:val="00C80EEB"/>
    <w:rsid w:val="00C82212"/>
    <w:rsid w:val="00C835CD"/>
    <w:rsid w:val="00C837B7"/>
    <w:rsid w:val="00C83FBE"/>
    <w:rsid w:val="00C84470"/>
    <w:rsid w:val="00C84761"/>
    <w:rsid w:val="00C85825"/>
    <w:rsid w:val="00C8641E"/>
    <w:rsid w:val="00C87406"/>
    <w:rsid w:val="00C90A55"/>
    <w:rsid w:val="00C90F5C"/>
    <w:rsid w:val="00C9153F"/>
    <w:rsid w:val="00C91813"/>
    <w:rsid w:val="00C9233C"/>
    <w:rsid w:val="00C9243E"/>
    <w:rsid w:val="00C93ED2"/>
    <w:rsid w:val="00C94F88"/>
    <w:rsid w:val="00C95323"/>
    <w:rsid w:val="00C95451"/>
    <w:rsid w:val="00C9579B"/>
    <w:rsid w:val="00C965A3"/>
    <w:rsid w:val="00C96F23"/>
    <w:rsid w:val="00CA14A5"/>
    <w:rsid w:val="00CA2139"/>
    <w:rsid w:val="00CA225C"/>
    <w:rsid w:val="00CA25E5"/>
    <w:rsid w:val="00CA2F98"/>
    <w:rsid w:val="00CA40BA"/>
    <w:rsid w:val="00CA4314"/>
    <w:rsid w:val="00CA4C08"/>
    <w:rsid w:val="00CA60B4"/>
    <w:rsid w:val="00CA6B84"/>
    <w:rsid w:val="00CA7B05"/>
    <w:rsid w:val="00CB094A"/>
    <w:rsid w:val="00CB2C6B"/>
    <w:rsid w:val="00CB2DD9"/>
    <w:rsid w:val="00CB2E2A"/>
    <w:rsid w:val="00CB3791"/>
    <w:rsid w:val="00CB387D"/>
    <w:rsid w:val="00CB43AA"/>
    <w:rsid w:val="00CB523E"/>
    <w:rsid w:val="00CB762B"/>
    <w:rsid w:val="00CC0C96"/>
    <w:rsid w:val="00CC0E46"/>
    <w:rsid w:val="00CC12CD"/>
    <w:rsid w:val="00CC137E"/>
    <w:rsid w:val="00CC1474"/>
    <w:rsid w:val="00CC1630"/>
    <w:rsid w:val="00CC199A"/>
    <w:rsid w:val="00CC19F7"/>
    <w:rsid w:val="00CC1A31"/>
    <w:rsid w:val="00CC2171"/>
    <w:rsid w:val="00CC23CB"/>
    <w:rsid w:val="00CC24D3"/>
    <w:rsid w:val="00CC252C"/>
    <w:rsid w:val="00CC3017"/>
    <w:rsid w:val="00CC4254"/>
    <w:rsid w:val="00CC4CAE"/>
    <w:rsid w:val="00CC58EC"/>
    <w:rsid w:val="00CC59E9"/>
    <w:rsid w:val="00CC627F"/>
    <w:rsid w:val="00CC631E"/>
    <w:rsid w:val="00CD00DF"/>
    <w:rsid w:val="00CD1275"/>
    <w:rsid w:val="00CD1384"/>
    <w:rsid w:val="00CD1387"/>
    <w:rsid w:val="00CD1474"/>
    <w:rsid w:val="00CD16BF"/>
    <w:rsid w:val="00CD3009"/>
    <w:rsid w:val="00CD3332"/>
    <w:rsid w:val="00CD364E"/>
    <w:rsid w:val="00CD3CEA"/>
    <w:rsid w:val="00CD4A72"/>
    <w:rsid w:val="00CD4DC8"/>
    <w:rsid w:val="00CD6A81"/>
    <w:rsid w:val="00CE1E56"/>
    <w:rsid w:val="00CE1F45"/>
    <w:rsid w:val="00CE216F"/>
    <w:rsid w:val="00CE22DB"/>
    <w:rsid w:val="00CE251F"/>
    <w:rsid w:val="00CE27F3"/>
    <w:rsid w:val="00CE2C76"/>
    <w:rsid w:val="00CE347F"/>
    <w:rsid w:val="00CE4057"/>
    <w:rsid w:val="00CE4C54"/>
    <w:rsid w:val="00CE4C5F"/>
    <w:rsid w:val="00CE5EB0"/>
    <w:rsid w:val="00CE61E1"/>
    <w:rsid w:val="00CE653A"/>
    <w:rsid w:val="00CE6D87"/>
    <w:rsid w:val="00CE72B7"/>
    <w:rsid w:val="00CE7474"/>
    <w:rsid w:val="00CF02CD"/>
    <w:rsid w:val="00CF0F61"/>
    <w:rsid w:val="00CF130B"/>
    <w:rsid w:val="00CF1337"/>
    <w:rsid w:val="00CF1931"/>
    <w:rsid w:val="00CF195D"/>
    <w:rsid w:val="00CF28FD"/>
    <w:rsid w:val="00CF3050"/>
    <w:rsid w:val="00CF3BF2"/>
    <w:rsid w:val="00CF4548"/>
    <w:rsid w:val="00CF49F6"/>
    <w:rsid w:val="00CF515F"/>
    <w:rsid w:val="00CF5F74"/>
    <w:rsid w:val="00CF651F"/>
    <w:rsid w:val="00CF6FA9"/>
    <w:rsid w:val="00CF7073"/>
    <w:rsid w:val="00CF7C64"/>
    <w:rsid w:val="00D01124"/>
    <w:rsid w:val="00D01219"/>
    <w:rsid w:val="00D012F4"/>
    <w:rsid w:val="00D01754"/>
    <w:rsid w:val="00D0267F"/>
    <w:rsid w:val="00D02735"/>
    <w:rsid w:val="00D02A65"/>
    <w:rsid w:val="00D02C82"/>
    <w:rsid w:val="00D02F08"/>
    <w:rsid w:val="00D04455"/>
    <w:rsid w:val="00D05633"/>
    <w:rsid w:val="00D0629A"/>
    <w:rsid w:val="00D065E8"/>
    <w:rsid w:val="00D0748F"/>
    <w:rsid w:val="00D10B12"/>
    <w:rsid w:val="00D10ECB"/>
    <w:rsid w:val="00D12A02"/>
    <w:rsid w:val="00D13523"/>
    <w:rsid w:val="00D13AD9"/>
    <w:rsid w:val="00D14035"/>
    <w:rsid w:val="00D150C1"/>
    <w:rsid w:val="00D1594A"/>
    <w:rsid w:val="00D15D13"/>
    <w:rsid w:val="00D16BDC"/>
    <w:rsid w:val="00D17126"/>
    <w:rsid w:val="00D1736A"/>
    <w:rsid w:val="00D17732"/>
    <w:rsid w:val="00D177EA"/>
    <w:rsid w:val="00D21E05"/>
    <w:rsid w:val="00D21E70"/>
    <w:rsid w:val="00D2263F"/>
    <w:rsid w:val="00D230DE"/>
    <w:rsid w:val="00D23E02"/>
    <w:rsid w:val="00D25661"/>
    <w:rsid w:val="00D25B71"/>
    <w:rsid w:val="00D26141"/>
    <w:rsid w:val="00D26E7F"/>
    <w:rsid w:val="00D273E4"/>
    <w:rsid w:val="00D273EA"/>
    <w:rsid w:val="00D2785C"/>
    <w:rsid w:val="00D27EA2"/>
    <w:rsid w:val="00D3015A"/>
    <w:rsid w:val="00D306C1"/>
    <w:rsid w:val="00D3126B"/>
    <w:rsid w:val="00D31357"/>
    <w:rsid w:val="00D317BD"/>
    <w:rsid w:val="00D31F36"/>
    <w:rsid w:val="00D336B7"/>
    <w:rsid w:val="00D33D97"/>
    <w:rsid w:val="00D3451B"/>
    <w:rsid w:val="00D34C2A"/>
    <w:rsid w:val="00D350A8"/>
    <w:rsid w:val="00D3543F"/>
    <w:rsid w:val="00D3568C"/>
    <w:rsid w:val="00D35E74"/>
    <w:rsid w:val="00D36DA2"/>
    <w:rsid w:val="00D36DBC"/>
    <w:rsid w:val="00D370B1"/>
    <w:rsid w:val="00D37100"/>
    <w:rsid w:val="00D37123"/>
    <w:rsid w:val="00D37689"/>
    <w:rsid w:val="00D37C8B"/>
    <w:rsid w:val="00D408BE"/>
    <w:rsid w:val="00D40C02"/>
    <w:rsid w:val="00D410ED"/>
    <w:rsid w:val="00D4274C"/>
    <w:rsid w:val="00D428DD"/>
    <w:rsid w:val="00D4419D"/>
    <w:rsid w:val="00D44828"/>
    <w:rsid w:val="00D448A0"/>
    <w:rsid w:val="00D44CEB"/>
    <w:rsid w:val="00D44DC1"/>
    <w:rsid w:val="00D46A01"/>
    <w:rsid w:val="00D5022D"/>
    <w:rsid w:val="00D50B66"/>
    <w:rsid w:val="00D50CDE"/>
    <w:rsid w:val="00D51678"/>
    <w:rsid w:val="00D5184A"/>
    <w:rsid w:val="00D51AFF"/>
    <w:rsid w:val="00D51FA0"/>
    <w:rsid w:val="00D52853"/>
    <w:rsid w:val="00D53943"/>
    <w:rsid w:val="00D539E6"/>
    <w:rsid w:val="00D54325"/>
    <w:rsid w:val="00D545CB"/>
    <w:rsid w:val="00D54ACE"/>
    <w:rsid w:val="00D54D8C"/>
    <w:rsid w:val="00D551B5"/>
    <w:rsid w:val="00D561C9"/>
    <w:rsid w:val="00D56C72"/>
    <w:rsid w:val="00D5713E"/>
    <w:rsid w:val="00D600E6"/>
    <w:rsid w:val="00D604FC"/>
    <w:rsid w:val="00D60B47"/>
    <w:rsid w:val="00D610A2"/>
    <w:rsid w:val="00D62273"/>
    <w:rsid w:val="00D623B9"/>
    <w:rsid w:val="00D629F0"/>
    <w:rsid w:val="00D64719"/>
    <w:rsid w:val="00D651D0"/>
    <w:rsid w:val="00D65615"/>
    <w:rsid w:val="00D65928"/>
    <w:rsid w:val="00D66618"/>
    <w:rsid w:val="00D67493"/>
    <w:rsid w:val="00D674FC"/>
    <w:rsid w:val="00D67B6C"/>
    <w:rsid w:val="00D67DF0"/>
    <w:rsid w:val="00D707CF"/>
    <w:rsid w:val="00D7219F"/>
    <w:rsid w:val="00D721D2"/>
    <w:rsid w:val="00D72833"/>
    <w:rsid w:val="00D72E1E"/>
    <w:rsid w:val="00D73743"/>
    <w:rsid w:val="00D743E0"/>
    <w:rsid w:val="00D75680"/>
    <w:rsid w:val="00D76B7F"/>
    <w:rsid w:val="00D76F6F"/>
    <w:rsid w:val="00D7718E"/>
    <w:rsid w:val="00D778B1"/>
    <w:rsid w:val="00D8020F"/>
    <w:rsid w:val="00D806BD"/>
    <w:rsid w:val="00D80920"/>
    <w:rsid w:val="00D81D0A"/>
    <w:rsid w:val="00D8243D"/>
    <w:rsid w:val="00D8299C"/>
    <w:rsid w:val="00D831C7"/>
    <w:rsid w:val="00D8440C"/>
    <w:rsid w:val="00D85513"/>
    <w:rsid w:val="00D857FA"/>
    <w:rsid w:val="00D85C4E"/>
    <w:rsid w:val="00D85CAA"/>
    <w:rsid w:val="00D85D12"/>
    <w:rsid w:val="00D85FB5"/>
    <w:rsid w:val="00D86C7C"/>
    <w:rsid w:val="00D8708F"/>
    <w:rsid w:val="00D87CDC"/>
    <w:rsid w:val="00D901D0"/>
    <w:rsid w:val="00D90756"/>
    <w:rsid w:val="00D9131D"/>
    <w:rsid w:val="00D91774"/>
    <w:rsid w:val="00D9186D"/>
    <w:rsid w:val="00D91C8A"/>
    <w:rsid w:val="00D93C51"/>
    <w:rsid w:val="00D9444C"/>
    <w:rsid w:val="00D973BC"/>
    <w:rsid w:val="00DA0203"/>
    <w:rsid w:val="00DA0205"/>
    <w:rsid w:val="00DA0279"/>
    <w:rsid w:val="00DA0C1D"/>
    <w:rsid w:val="00DA1F07"/>
    <w:rsid w:val="00DA35C5"/>
    <w:rsid w:val="00DA413A"/>
    <w:rsid w:val="00DA444B"/>
    <w:rsid w:val="00DA47B8"/>
    <w:rsid w:val="00DA4BFD"/>
    <w:rsid w:val="00DA4D69"/>
    <w:rsid w:val="00DA4E4A"/>
    <w:rsid w:val="00DA4ED2"/>
    <w:rsid w:val="00DA57ED"/>
    <w:rsid w:val="00DA5D26"/>
    <w:rsid w:val="00DA6647"/>
    <w:rsid w:val="00DA6CC9"/>
    <w:rsid w:val="00DA78B1"/>
    <w:rsid w:val="00DADA0C"/>
    <w:rsid w:val="00DB0C1F"/>
    <w:rsid w:val="00DB1A21"/>
    <w:rsid w:val="00DB1DB1"/>
    <w:rsid w:val="00DB1DB9"/>
    <w:rsid w:val="00DB20B8"/>
    <w:rsid w:val="00DB28D2"/>
    <w:rsid w:val="00DB29CE"/>
    <w:rsid w:val="00DB2AE9"/>
    <w:rsid w:val="00DB413E"/>
    <w:rsid w:val="00DB464E"/>
    <w:rsid w:val="00DB555C"/>
    <w:rsid w:val="00DB5A8F"/>
    <w:rsid w:val="00DB62F1"/>
    <w:rsid w:val="00DB69B4"/>
    <w:rsid w:val="00DB7428"/>
    <w:rsid w:val="00DB79CA"/>
    <w:rsid w:val="00DB7CAF"/>
    <w:rsid w:val="00DB7D96"/>
    <w:rsid w:val="00DC02A6"/>
    <w:rsid w:val="00DC0530"/>
    <w:rsid w:val="00DC1280"/>
    <w:rsid w:val="00DC2737"/>
    <w:rsid w:val="00DC2E46"/>
    <w:rsid w:val="00DC2F8C"/>
    <w:rsid w:val="00DC3633"/>
    <w:rsid w:val="00DC47D8"/>
    <w:rsid w:val="00DC4ACF"/>
    <w:rsid w:val="00DC4B01"/>
    <w:rsid w:val="00DC5195"/>
    <w:rsid w:val="00DC5567"/>
    <w:rsid w:val="00DC56A4"/>
    <w:rsid w:val="00DC607C"/>
    <w:rsid w:val="00DC6D15"/>
    <w:rsid w:val="00DC7117"/>
    <w:rsid w:val="00DC7827"/>
    <w:rsid w:val="00DD0042"/>
    <w:rsid w:val="00DD0C5D"/>
    <w:rsid w:val="00DD252B"/>
    <w:rsid w:val="00DD35AB"/>
    <w:rsid w:val="00DD3CED"/>
    <w:rsid w:val="00DD4414"/>
    <w:rsid w:val="00DD602C"/>
    <w:rsid w:val="00DD60BC"/>
    <w:rsid w:val="00DD734E"/>
    <w:rsid w:val="00DD79D0"/>
    <w:rsid w:val="00DD7B66"/>
    <w:rsid w:val="00DD7E9F"/>
    <w:rsid w:val="00DE0CEF"/>
    <w:rsid w:val="00DE14F1"/>
    <w:rsid w:val="00DE21AA"/>
    <w:rsid w:val="00DE23C8"/>
    <w:rsid w:val="00DE3DE9"/>
    <w:rsid w:val="00DE47AA"/>
    <w:rsid w:val="00DE50B5"/>
    <w:rsid w:val="00DE54D7"/>
    <w:rsid w:val="00DE5FA6"/>
    <w:rsid w:val="00DE5FF4"/>
    <w:rsid w:val="00DE6EF8"/>
    <w:rsid w:val="00DE6F03"/>
    <w:rsid w:val="00DE7108"/>
    <w:rsid w:val="00DF0BB9"/>
    <w:rsid w:val="00DF0EF5"/>
    <w:rsid w:val="00DF112A"/>
    <w:rsid w:val="00DF124B"/>
    <w:rsid w:val="00DF23EF"/>
    <w:rsid w:val="00DF369D"/>
    <w:rsid w:val="00DF4C10"/>
    <w:rsid w:val="00DF5E70"/>
    <w:rsid w:val="00DF6614"/>
    <w:rsid w:val="00DF705C"/>
    <w:rsid w:val="00DF70FE"/>
    <w:rsid w:val="00E01F0B"/>
    <w:rsid w:val="00E0227B"/>
    <w:rsid w:val="00E0247E"/>
    <w:rsid w:val="00E02FC6"/>
    <w:rsid w:val="00E0385A"/>
    <w:rsid w:val="00E03C66"/>
    <w:rsid w:val="00E03E9E"/>
    <w:rsid w:val="00E05315"/>
    <w:rsid w:val="00E07250"/>
    <w:rsid w:val="00E07D2B"/>
    <w:rsid w:val="00E11B0E"/>
    <w:rsid w:val="00E11CB9"/>
    <w:rsid w:val="00E12BDA"/>
    <w:rsid w:val="00E13BA5"/>
    <w:rsid w:val="00E13FCB"/>
    <w:rsid w:val="00E14171"/>
    <w:rsid w:val="00E14B74"/>
    <w:rsid w:val="00E1752A"/>
    <w:rsid w:val="00E17950"/>
    <w:rsid w:val="00E17FED"/>
    <w:rsid w:val="00E2133B"/>
    <w:rsid w:val="00E21B04"/>
    <w:rsid w:val="00E21CE4"/>
    <w:rsid w:val="00E21FDA"/>
    <w:rsid w:val="00E22C30"/>
    <w:rsid w:val="00E23189"/>
    <w:rsid w:val="00E24A5E"/>
    <w:rsid w:val="00E24D33"/>
    <w:rsid w:val="00E24D80"/>
    <w:rsid w:val="00E2503F"/>
    <w:rsid w:val="00E26002"/>
    <w:rsid w:val="00E262CA"/>
    <w:rsid w:val="00E264A9"/>
    <w:rsid w:val="00E26B77"/>
    <w:rsid w:val="00E26DE0"/>
    <w:rsid w:val="00E304E8"/>
    <w:rsid w:val="00E30ED6"/>
    <w:rsid w:val="00E3150B"/>
    <w:rsid w:val="00E31A2F"/>
    <w:rsid w:val="00E33499"/>
    <w:rsid w:val="00E3377A"/>
    <w:rsid w:val="00E33F95"/>
    <w:rsid w:val="00E342F5"/>
    <w:rsid w:val="00E346D7"/>
    <w:rsid w:val="00E35CB2"/>
    <w:rsid w:val="00E360D1"/>
    <w:rsid w:val="00E369D4"/>
    <w:rsid w:val="00E36B3A"/>
    <w:rsid w:val="00E36F32"/>
    <w:rsid w:val="00E37AF7"/>
    <w:rsid w:val="00E40B6E"/>
    <w:rsid w:val="00E40CC1"/>
    <w:rsid w:val="00E40CEE"/>
    <w:rsid w:val="00E41343"/>
    <w:rsid w:val="00E41CB0"/>
    <w:rsid w:val="00E41F91"/>
    <w:rsid w:val="00E42927"/>
    <w:rsid w:val="00E42A0B"/>
    <w:rsid w:val="00E433A0"/>
    <w:rsid w:val="00E43A43"/>
    <w:rsid w:val="00E43AC5"/>
    <w:rsid w:val="00E43C87"/>
    <w:rsid w:val="00E448D3"/>
    <w:rsid w:val="00E4509F"/>
    <w:rsid w:val="00E45823"/>
    <w:rsid w:val="00E46BC6"/>
    <w:rsid w:val="00E46D8B"/>
    <w:rsid w:val="00E47DEF"/>
    <w:rsid w:val="00E5114D"/>
    <w:rsid w:val="00E5148C"/>
    <w:rsid w:val="00E5223C"/>
    <w:rsid w:val="00E53F3A"/>
    <w:rsid w:val="00E5444A"/>
    <w:rsid w:val="00E5458D"/>
    <w:rsid w:val="00E54F73"/>
    <w:rsid w:val="00E555DD"/>
    <w:rsid w:val="00E55937"/>
    <w:rsid w:val="00E55C81"/>
    <w:rsid w:val="00E55EFD"/>
    <w:rsid w:val="00E56214"/>
    <w:rsid w:val="00E56BFB"/>
    <w:rsid w:val="00E56EB9"/>
    <w:rsid w:val="00E57CE7"/>
    <w:rsid w:val="00E60069"/>
    <w:rsid w:val="00E60AEB"/>
    <w:rsid w:val="00E61AEF"/>
    <w:rsid w:val="00E62080"/>
    <w:rsid w:val="00E62975"/>
    <w:rsid w:val="00E62A44"/>
    <w:rsid w:val="00E632F2"/>
    <w:rsid w:val="00E65120"/>
    <w:rsid w:val="00E6602C"/>
    <w:rsid w:val="00E67992"/>
    <w:rsid w:val="00E70063"/>
    <w:rsid w:val="00E70719"/>
    <w:rsid w:val="00E7081A"/>
    <w:rsid w:val="00E70AA6"/>
    <w:rsid w:val="00E70C2C"/>
    <w:rsid w:val="00E70F0B"/>
    <w:rsid w:val="00E7117C"/>
    <w:rsid w:val="00E71451"/>
    <w:rsid w:val="00E71605"/>
    <w:rsid w:val="00E71CAA"/>
    <w:rsid w:val="00E727F7"/>
    <w:rsid w:val="00E7499E"/>
    <w:rsid w:val="00E7506E"/>
    <w:rsid w:val="00E75318"/>
    <w:rsid w:val="00E75899"/>
    <w:rsid w:val="00E758ED"/>
    <w:rsid w:val="00E761BB"/>
    <w:rsid w:val="00E765CB"/>
    <w:rsid w:val="00E76DC0"/>
    <w:rsid w:val="00E77BC1"/>
    <w:rsid w:val="00E77CDC"/>
    <w:rsid w:val="00E81365"/>
    <w:rsid w:val="00E813A7"/>
    <w:rsid w:val="00E82F36"/>
    <w:rsid w:val="00E83CE1"/>
    <w:rsid w:val="00E83E95"/>
    <w:rsid w:val="00E83F1E"/>
    <w:rsid w:val="00E847AA"/>
    <w:rsid w:val="00E84AC6"/>
    <w:rsid w:val="00E84B9D"/>
    <w:rsid w:val="00E85746"/>
    <w:rsid w:val="00E85882"/>
    <w:rsid w:val="00E859A1"/>
    <w:rsid w:val="00E86401"/>
    <w:rsid w:val="00E864E3"/>
    <w:rsid w:val="00E86847"/>
    <w:rsid w:val="00E872BF"/>
    <w:rsid w:val="00E87595"/>
    <w:rsid w:val="00E878BF"/>
    <w:rsid w:val="00E90330"/>
    <w:rsid w:val="00E9084A"/>
    <w:rsid w:val="00E90C20"/>
    <w:rsid w:val="00E91497"/>
    <w:rsid w:val="00E915B2"/>
    <w:rsid w:val="00E92BFC"/>
    <w:rsid w:val="00E92C93"/>
    <w:rsid w:val="00E932D1"/>
    <w:rsid w:val="00E93F38"/>
    <w:rsid w:val="00E94C20"/>
    <w:rsid w:val="00E956ED"/>
    <w:rsid w:val="00E97484"/>
    <w:rsid w:val="00E97564"/>
    <w:rsid w:val="00EA0354"/>
    <w:rsid w:val="00EA06AA"/>
    <w:rsid w:val="00EA1095"/>
    <w:rsid w:val="00EA1146"/>
    <w:rsid w:val="00EA1ADF"/>
    <w:rsid w:val="00EA224E"/>
    <w:rsid w:val="00EA272A"/>
    <w:rsid w:val="00EA272C"/>
    <w:rsid w:val="00EA2B42"/>
    <w:rsid w:val="00EA30BF"/>
    <w:rsid w:val="00EA3267"/>
    <w:rsid w:val="00EA36D2"/>
    <w:rsid w:val="00EA4DC0"/>
    <w:rsid w:val="00EA4F67"/>
    <w:rsid w:val="00EA50C8"/>
    <w:rsid w:val="00EA5A18"/>
    <w:rsid w:val="00EA6607"/>
    <w:rsid w:val="00EA6E71"/>
    <w:rsid w:val="00EA6EA0"/>
    <w:rsid w:val="00EA71C7"/>
    <w:rsid w:val="00EA7560"/>
    <w:rsid w:val="00EA78BF"/>
    <w:rsid w:val="00EB0586"/>
    <w:rsid w:val="00EB09A4"/>
    <w:rsid w:val="00EB19C4"/>
    <w:rsid w:val="00EB2AA9"/>
    <w:rsid w:val="00EB4F57"/>
    <w:rsid w:val="00EB5443"/>
    <w:rsid w:val="00EB5542"/>
    <w:rsid w:val="00EB5ADA"/>
    <w:rsid w:val="00EB757D"/>
    <w:rsid w:val="00EC013F"/>
    <w:rsid w:val="00EC03CB"/>
    <w:rsid w:val="00EC163D"/>
    <w:rsid w:val="00EC2260"/>
    <w:rsid w:val="00EC2AEA"/>
    <w:rsid w:val="00EC2C05"/>
    <w:rsid w:val="00EC2CB3"/>
    <w:rsid w:val="00EC377A"/>
    <w:rsid w:val="00EC59E7"/>
    <w:rsid w:val="00EC5EA5"/>
    <w:rsid w:val="00EC6300"/>
    <w:rsid w:val="00EC6754"/>
    <w:rsid w:val="00EC7B9B"/>
    <w:rsid w:val="00ED0132"/>
    <w:rsid w:val="00ED1A45"/>
    <w:rsid w:val="00ED1D3C"/>
    <w:rsid w:val="00ED1E35"/>
    <w:rsid w:val="00ED22F6"/>
    <w:rsid w:val="00ED2CD0"/>
    <w:rsid w:val="00ED41A8"/>
    <w:rsid w:val="00ED4583"/>
    <w:rsid w:val="00ED4604"/>
    <w:rsid w:val="00ED5507"/>
    <w:rsid w:val="00ED61B2"/>
    <w:rsid w:val="00ED62EF"/>
    <w:rsid w:val="00ED64CC"/>
    <w:rsid w:val="00ED6CD6"/>
    <w:rsid w:val="00ED781A"/>
    <w:rsid w:val="00EE081E"/>
    <w:rsid w:val="00EE2E7C"/>
    <w:rsid w:val="00EE3365"/>
    <w:rsid w:val="00EE3A20"/>
    <w:rsid w:val="00EE3ED9"/>
    <w:rsid w:val="00EE467D"/>
    <w:rsid w:val="00EE5041"/>
    <w:rsid w:val="00EE5773"/>
    <w:rsid w:val="00EE5A07"/>
    <w:rsid w:val="00EE6EEA"/>
    <w:rsid w:val="00EE7FB2"/>
    <w:rsid w:val="00EF0824"/>
    <w:rsid w:val="00EF0AC4"/>
    <w:rsid w:val="00EF140E"/>
    <w:rsid w:val="00EF31FB"/>
    <w:rsid w:val="00EF3382"/>
    <w:rsid w:val="00EF3627"/>
    <w:rsid w:val="00EF3C99"/>
    <w:rsid w:val="00EF3D8C"/>
    <w:rsid w:val="00EF45FD"/>
    <w:rsid w:val="00EF513D"/>
    <w:rsid w:val="00EF6EC9"/>
    <w:rsid w:val="00EF7101"/>
    <w:rsid w:val="00EF71B8"/>
    <w:rsid w:val="00EF72EC"/>
    <w:rsid w:val="00EF7326"/>
    <w:rsid w:val="00EF76F7"/>
    <w:rsid w:val="00EF7E83"/>
    <w:rsid w:val="00F004DE"/>
    <w:rsid w:val="00F008C0"/>
    <w:rsid w:val="00F009A2"/>
    <w:rsid w:val="00F01884"/>
    <w:rsid w:val="00F023DB"/>
    <w:rsid w:val="00F0593F"/>
    <w:rsid w:val="00F05C7C"/>
    <w:rsid w:val="00F05DC8"/>
    <w:rsid w:val="00F079B1"/>
    <w:rsid w:val="00F10D79"/>
    <w:rsid w:val="00F10FF9"/>
    <w:rsid w:val="00F11464"/>
    <w:rsid w:val="00F11E62"/>
    <w:rsid w:val="00F1404D"/>
    <w:rsid w:val="00F15E2E"/>
    <w:rsid w:val="00F16C5B"/>
    <w:rsid w:val="00F171BE"/>
    <w:rsid w:val="00F1729C"/>
    <w:rsid w:val="00F17519"/>
    <w:rsid w:val="00F17D24"/>
    <w:rsid w:val="00F2045A"/>
    <w:rsid w:val="00F2073F"/>
    <w:rsid w:val="00F20C50"/>
    <w:rsid w:val="00F21842"/>
    <w:rsid w:val="00F22110"/>
    <w:rsid w:val="00F2343D"/>
    <w:rsid w:val="00F2480A"/>
    <w:rsid w:val="00F2497D"/>
    <w:rsid w:val="00F24D55"/>
    <w:rsid w:val="00F2783E"/>
    <w:rsid w:val="00F2787B"/>
    <w:rsid w:val="00F278E3"/>
    <w:rsid w:val="00F3165D"/>
    <w:rsid w:val="00F31738"/>
    <w:rsid w:val="00F3187D"/>
    <w:rsid w:val="00F318CB"/>
    <w:rsid w:val="00F32A1F"/>
    <w:rsid w:val="00F32C4B"/>
    <w:rsid w:val="00F332B0"/>
    <w:rsid w:val="00F332E2"/>
    <w:rsid w:val="00F334F1"/>
    <w:rsid w:val="00F3394D"/>
    <w:rsid w:val="00F34356"/>
    <w:rsid w:val="00F353CB"/>
    <w:rsid w:val="00F358DE"/>
    <w:rsid w:val="00F35930"/>
    <w:rsid w:val="00F36642"/>
    <w:rsid w:val="00F36AEF"/>
    <w:rsid w:val="00F3752E"/>
    <w:rsid w:val="00F37780"/>
    <w:rsid w:val="00F37F33"/>
    <w:rsid w:val="00F40276"/>
    <w:rsid w:val="00F402CA"/>
    <w:rsid w:val="00F403D9"/>
    <w:rsid w:val="00F40535"/>
    <w:rsid w:val="00F40B60"/>
    <w:rsid w:val="00F40C1B"/>
    <w:rsid w:val="00F41831"/>
    <w:rsid w:val="00F4289A"/>
    <w:rsid w:val="00F42A40"/>
    <w:rsid w:val="00F42F04"/>
    <w:rsid w:val="00F430D9"/>
    <w:rsid w:val="00F43D07"/>
    <w:rsid w:val="00F43D69"/>
    <w:rsid w:val="00F44233"/>
    <w:rsid w:val="00F4460E"/>
    <w:rsid w:val="00F45ACC"/>
    <w:rsid w:val="00F460C4"/>
    <w:rsid w:val="00F47B9D"/>
    <w:rsid w:val="00F47C4E"/>
    <w:rsid w:val="00F47D1D"/>
    <w:rsid w:val="00F50639"/>
    <w:rsid w:val="00F50840"/>
    <w:rsid w:val="00F509FE"/>
    <w:rsid w:val="00F51022"/>
    <w:rsid w:val="00F51929"/>
    <w:rsid w:val="00F51BDC"/>
    <w:rsid w:val="00F51D1B"/>
    <w:rsid w:val="00F51ECE"/>
    <w:rsid w:val="00F52F32"/>
    <w:rsid w:val="00F540DF"/>
    <w:rsid w:val="00F54C1E"/>
    <w:rsid w:val="00F54D2F"/>
    <w:rsid w:val="00F55BDD"/>
    <w:rsid w:val="00F56666"/>
    <w:rsid w:val="00F5711D"/>
    <w:rsid w:val="00F5740F"/>
    <w:rsid w:val="00F57CE5"/>
    <w:rsid w:val="00F57EF3"/>
    <w:rsid w:val="00F6029E"/>
    <w:rsid w:val="00F61C1A"/>
    <w:rsid w:val="00F621AF"/>
    <w:rsid w:val="00F63069"/>
    <w:rsid w:val="00F63403"/>
    <w:rsid w:val="00F635AB"/>
    <w:rsid w:val="00F64B02"/>
    <w:rsid w:val="00F65BC5"/>
    <w:rsid w:val="00F679D1"/>
    <w:rsid w:val="00F7184C"/>
    <w:rsid w:val="00F71D55"/>
    <w:rsid w:val="00F737AD"/>
    <w:rsid w:val="00F7443F"/>
    <w:rsid w:val="00F7465C"/>
    <w:rsid w:val="00F7490B"/>
    <w:rsid w:val="00F74EFA"/>
    <w:rsid w:val="00F7512F"/>
    <w:rsid w:val="00F7522E"/>
    <w:rsid w:val="00F76ABD"/>
    <w:rsid w:val="00F80585"/>
    <w:rsid w:val="00F805E1"/>
    <w:rsid w:val="00F80688"/>
    <w:rsid w:val="00F80FDC"/>
    <w:rsid w:val="00F8109E"/>
    <w:rsid w:val="00F829B3"/>
    <w:rsid w:val="00F82CFD"/>
    <w:rsid w:val="00F83573"/>
    <w:rsid w:val="00F83F24"/>
    <w:rsid w:val="00F853B5"/>
    <w:rsid w:val="00F85B50"/>
    <w:rsid w:val="00F85FD5"/>
    <w:rsid w:val="00F868DD"/>
    <w:rsid w:val="00F87044"/>
    <w:rsid w:val="00F8749C"/>
    <w:rsid w:val="00F87F74"/>
    <w:rsid w:val="00F90CAE"/>
    <w:rsid w:val="00F91C82"/>
    <w:rsid w:val="00F920E7"/>
    <w:rsid w:val="00F9278C"/>
    <w:rsid w:val="00F93839"/>
    <w:rsid w:val="00F93847"/>
    <w:rsid w:val="00F93DD2"/>
    <w:rsid w:val="00F947BA"/>
    <w:rsid w:val="00F9671F"/>
    <w:rsid w:val="00F9692A"/>
    <w:rsid w:val="00F97CBB"/>
    <w:rsid w:val="00F97CC8"/>
    <w:rsid w:val="00F97D7D"/>
    <w:rsid w:val="00F97E57"/>
    <w:rsid w:val="00F97FDF"/>
    <w:rsid w:val="00FA027C"/>
    <w:rsid w:val="00FA02B4"/>
    <w:rsid w:val="00FA0C0F"/>
    <w:rsid w:val="00FA0E4F"/>
    <w:rsid w:val="00FA106B"/>
    <w:rsid w:val="00FA1203"/>
    <w:rsid w:val="00FA17AB"/>
    <w:rsid w:val="00FA48FA"/>
    <w:rsid w:val="00FA4EFD"/>
    <w:rsid w:val="00FA5B01"/>
    <w:rsid w:val="00FA5F76"/>
    <w:rsid w:val="00FA681E"/>
    <w:rsid w:val="00FA6AD2"/>
    <w:rsid w:val="00FA6B22"/>
    <w:rsid w:val="00FA74F9"/>
    <w:rsid w:val="00FA77EC"/>
    <w:rsid w:val="00FA79BE"/>
    <w:rsid w:val="00FA7CBC"/>
    <w:rsid w:val="00FA7CD6"/>
    <w:rsid w:val="00FA7D6C"/>
    <w:rsid w:val="00FB0371"/>
    <w:rsid w:val="00FB0956"/>
    <w:rsid w:val="00FB0DE4"/>
    <w:rsid w:val="00FB1A16"/>
    <w:rsid w:val="00FB1B3B"/>
    <w:rsid w:val="00FB26B6"/>
    <w:rsid w:val="00FB271D"/>
    <w:rsid w:val="00FB2758"/>
    <w:rsid w:val="00FB2AD6"/>
    <w:rsid w:val="00FB4DB1"/>
    <w:rsid w:val="00FB53DB"/>
    <w:rsid w:val="00FB5587"/>
    <w:rsid w:val="00FB5881"/>
    <w:rsid w:val="00FB5D56"/>
    <w:rsid w:val="00FB5D97"/>
    <w:rsid w:val="00FB7B6A"/>
    <w:rsid w:val="00FC05CF"/>
    <w:rsid w:val="00FC0A5D"/>
    <w:rsid w:val="00FC1344"/>
    <w:rsid w:val="00FC1C03"/>
    <w:rsid w:val="00FC21FD"/>
    <w:rsid w:val="00FC2CDE"/>
    <w:rsid w:val="00FC2F2B"/>
    <w:rsid w:val="00FC2FA7"/>
    <w:rsid w:val="00FC3343"/>
    <w:rsid w:val="00FC4225"/>
    <w:rsid w:val="00FC4534"/>
    <w:rsid w:val="00FC45A8"/>
    <w:rsid w:val="00FC4B4B"/>
    <w:rsid w:val="00FC69DD"/>
    <w:rsid w:val="00FC6E25"/>
    <w:rsid w:val="00FC7096"/>
    <w:rsid w:val="00FD083C"/>
    <w:rsid w:val="00FD1A1F"/>
    <w:rsid w:val="00FD26E5"/>
    <w:rsid w:val="00FD2CD7"/>
    <w:rsid w:val="00FD3844"/>
    <w:rsid w:val="00FD4575"/>
    <w:rsid w:val="00FD4B17"/>
    <w:rsid w:val="00FD4BAF"/>
    <w:rsid w:val="00FD569B"/>
    <w:rsid w:val="00FD599C"/>
    <w:rsid w:val="00FD6075"/>
    <w:rsid w:val="00FD7254"/>
    <w:rsid w:val="00FD73DA"/>
    <w:rsid w:val="00FD7F3C"/>
    <w:rsid w:val="00FE0578"/>
    <w:rsid w:val="00FE1B8F"/>
    <w:rsid w:val="00FE216B"/>
    <w:rsid w:val="00FE29BF"/>
    <w:rsid w:val="00FE324F"/>
    <w:rsid w:val="00FE3FD9"/>
    <w:rsid w:val="00FE4820"/>
    <w:rsid w:val="00FE52B1"/>
    <w:rsid w:val="00FE5901"/>
    <w:rsid w:val="00FE79A6"/>
    <w:rsid w:val="00FF047B"/>
    <w:rsid w:val="00FF1954"/>
    <w:rsid w:val="00FF2486"/>
    <w:rsid w:val="00FF281B"/>
    <w:rsid w:val="00FF3AB2"/>
    <w:rsid w:val="00FF41AA"/>
    <w:rsid w:val="00FF42D3"/>
    <w:rsid w:val="00FF48AB"/>
    <w:rsid w:val="00FF52CF"/>
    <w:rsid w:val="0127B9EC"/>
    <w:rsid w:val="0145CF81"/>
    <w:rsid w:val="0150105F"/>
    <w:rsid w:val="01658212"/>
    <w:rsid w:val="01A62C92"/>
    <w:rsid w:val="01D81288"/>
    <w:rsid w:val="0214B298"/>
    <w:rsid w:val="022796EC"/>
    <w:rsid w:val="03A70FBE"/>
    <w:rsid w:val="03BD1FA0"/>
    <w:rsid w:val="0425823B"/>
    <w:rsid w:val="042E6D6A"/>
    <w:rsid w:val="043426FA"/>
    <w:rsid w:val="04386256"/>
    <w:rsid w:val="04A1CF4A"/>
    <w:rsid w:val="050B46BC"/>
    <w:rsid w:val="05487D99"/>
    <w:rsid w:val="0597599B"/>
    <w:rsid w:val="05A66135"/>
    <w:rsid w:val="05A72C63"/>
    <w:rsid w:val="0600DA9B"/>
    <w:rsid w:val="061E31A9"/>
    <w:rsid w:val="062474E7"/>
    <w:rsid w:val="062C6A23"/>
    <w:rsid w:val="0679620B"/>
    <w:rsid w:val="07321D75"/>
    <w:rsid w:val="073D5F75"/>
    <w:rsid w:val="073E1372"/>
    <w:rsid w:val="07B82907"/>
    <w:rsid w:val="07BD31D3"/>
    <w:rsid w:val="07EBDB9C"/>
    <w:rsid w:val="07EFF3B4"/>
    <w:rsid w:val="08006998"/>
    <w:rsid w:val="084AAFEC"/>
    <w:rsid w:val="085796E2"/>
    <w:rsid w:val="08904CD6"/>
    <w:rsid w:val="08A3B778"/>
    <w:rsid w:val="08BC0091"/>
    <w:rsid w:val="08FC501D"/>
    <w:rsid w:val="090B3A51"/>
    <w:rsid w:val="091B5DD1"/>
    <w:rsid w:val="092E2452"/>
    <w:rsid w:val="0940D806"/>
    <w:rsid w:val="094F24C0"/>
    <w:rsid w:val="096236B6"/>
    <w:rsid w:val="09B4146A"/>
    <w:rsid w:val="09C59197"/>
    <w:rsid w:val="09E9441D"/>
    <w:rsid w:val="0A09C3DF"/>
    <w:rsid w:val="0A31FEA7"/>
    <w:rsid w:val="0A6008EF"/>
    <w:rsid w:val="0A787A97"/>
    <w:rsid w:val="0A8040E0"/>
    <w:rsid w:val="0AC40161"/>
    <w:rsid w:val="0B14179D"/>
    <w:rsid w:val="0B54CD40"/>
    <w:rsid w:val="0B9C1773"/>
    <w:rsid w:val="0BEAFCD8"/>
    <w:rsid w:val="0C197084"/>
    <w:rsid w:val="0C7C41EA"/>
    <w:rsid w:val="0CB46182"/>
    <w:rsid w:val="0D00CDDA"/>
    <w:rsid w:val="0DB893C0"/>
    <w:rsid w:val="0DD434E8"/>
    <w:rsid w:val="0DE738B3"/>
    <w:rsid w:val="0E36AD96"/>
    <w:rsid w:val="0EA3C765"/>
    <w:rsid w:val="0F1BA92F"/>
    <w:rsid w:val="0F279F63"/>
    <w:rsid w:val="0F9E1405"/>
    <w:rsid w:val="0FE95821"/>
    <w:rsid w:val="10570B58"/>
    <w:rsid w:val="10583D05"/>
    <w:rsid w:val="1078EC40"/>
    <w:rsid w:val="108D86EF"/>
    <w:rsid w:val="1143162B"/>
    <w:rsid w:val="118EC9D7"/>
    <w:rsid w:val="12135A82"/>
    <w:rsid w:val="121EF1B6"/>
    <w:rsid w:val="12B2FC90"/>
    <w:rsid w:val="137E24CA"/>
    <w:rsid w:val="138581D4"/>
    <w:rsid w:val="13AF4AF4"/>
    <w:rsid w:val="13D5DE7E"/>
    <w:rsid w:val="14239189"/>
    <w:rsid w:val="14A547E4"/>
    <w:rsid w:val="14FE6010"/>
    <w:rsid w:val="15117783"/>
    <w:rsid w:val="15ACA5B1"/>
    <w:rsid w:val="16AC9223"/>
    <w:rsid w:val="17443B53"/>
    <w:rsid w:val="1784D395"/>
    <w:rsid w:val="1785CF67"/>
    <w:rsid w:val="1803DEB4"/>
    <w:rsid w:val="180CD709"/>
    <w:rsid w:val="183AB1F9"/>
    <w:rsid w:val="189C9861"/>
    <w:rsid w:val="192599FB"/>
    <w:rsid w:val="197BAA2F"/>
    <w:rsid w:val="19AA3F0F"/>
    <w:rsid w:val="19BD6D46"/>
    <w:rsid w:val="19D63F27"/>
    <w:rsid w:val="19FDDBAE"/>
    <w:rsid w:val="1A43B0C4"/>
    <w:rsid w:val="1A59E3F8"/>
    <w:rsid w:val="1A61AB9C"/>
    <w:rsid w:val="1AC7F662"/>
    <w:rsid w:val="1B11E770"/>
    <w:rsid w:val="1B283797"/>
    <w:rsid w:val="1BA44598"/>
    <w:rsid w:val="1BE90757"/>
    <w:rsid w:val="1C3E77A1"/>
    <w:rsid w:val="1C5A9616"/>
    <w:rsid w:val="1CB9E2F2"/>
    <w:rsid w:val="1CE7881D"/>
    <w:rsid w:val="1D2D72BD"/>
    <w:rsid w:val="1D6F2013"/>
    <w:rsid w:val="1DB02EE7"/>
    <w:rsid w:val="1DC96C97"/>
    <w:rsid w:val="1DCA514B"/>
    <w:rsid w:val="1DCBB61C"/>
    <w:rsid w:val="1DD6E637"/>
    <w:rsid w:val="1DE12580"/>
    <w:rsid w:val="1E63DAA2"/>
    <w:rsid w:val="1F17D1AF"/>
    <w:rsid w:val="1F7826EA"/>
    <w:rsid w:val="1F9EDE52"/>
    <w:rsid w:val="1FA24DF4"/>
    <w:rsid w:val="1FA92FE9"/>
    <w:rsid w:val="1FE0FBA9"/>
    <w:rsid w:val="201F86D7"/>
    <w:rsid w:val="204D272A"/>
    <w:rsid w:val="208A9115"/>
    <w:rsid w:val="20CD0F60"/>
    <w:rsid w:val="20D95EC8"/>
    <w:rsid w:val="21129E17"/>
    <w:rsid w:val="2147D35B"/>
    <w:rsid w:val="217439C7"/>
    <w:rsid w:val="21A3099B"/>
    <w:rsid w:val="21B8973F"/>
    <w:rsid w:val="21DCF506"/>
    <w:rsid w:val="21F42FFC"/>
    <w:rsid w:val="2241A7C4"/>
    <w:rsid w:val="22FDE0AC"/>
    <w:rsid w:val="23461DCB"/>
    <w:rsid w:val="23737894"/>
    <w:rsid w:val="2377C43B"/>
    <w:rsid w:val="2381021A"/>
    <w:rsid w:val="23A83723"/>
    <w:rsid w:val="242B9C4B"/>
    <w:rsid w:val="247287EE"/>
    <w:rsid w:val="24A275C2"/>
    <w:rsid w:val="25081B29"/>
    <w:rsid w:val="2539CAE0"/>
    <w:rsid w:val="254838E8"/>
    <w:rsid w:val="260B370C"/>
    <w:rsid w:val="266CA6D1"/>
    <w:rsid w:val="271E247B"/>
    <w:rsid w:val="27239C37"/>
    <w:rsid w:val="274A2D28"/>
    <w:rsid w:val="27BB7180"/>
    <w:rsid w:val="28251A2C"/>
    <w:rsid w:val="2876B489"/>
    <w:rsid w:val="287AAF90"/>
    <w:rsid w:val="2903E859"/>
    <w:rsid w:val="29A1202E"/>
    <w:rsid w:val="29E14B37"/>
    <w:rsid w:val="2A693306"/>
    <w:rsid w:val="2A9ECC67"/>
    <w:rsid w:val="2B0CC252"/>
    <w:rsid w:val="2B5479BE"/>
    <w:rsid w:val="2C011162"/>
    <w:rsid w:val="2C4BF673"/>
    <w:rsid w:val="2C5F5357"/>
    <w:rsid w:val="2C6B373E"/>
    <w:rsid w:val="2CB77AC5"/>
    <w:rsid w:val="2CD572E9"/>
    <w:rsid w:val="2D09F52F"/>
    <w:rsid w:val="2D1E95E5"/>
    <w:rsid w:val="2E0AE9D7"/>
    <w:rsid w:val="2E16C094"/>
    <w:rsid w:val="2E44AA74"/>
    <w:rsid w:val="2E7E636C"/>
    <w:rsid w:val="2E8693E8"/>
    <w:rsid w:val="2EDC419F"/>
    <w:rsid w:val="2EFD2265"/>
    <w:rsid w:val="2F28F27D"/>
    <w:rsid w:val="2F443DF4"/>
    <w:rsid w:val="2F5E805F"/>
    <w:rsid w:val="2FEEAC95"/>
    <w:rsid w:val="2FF04545"/>
    <w:rsid w:val="2FFA9907"/>
    <w:rsid w:val="3022B7AC"/>
    <w:rsid w:val="316642A5"/>
    <w:rsid w:val="317C9F70"/>
    <w:rsid w:val="319FD852"/>
    <w:rsid w:val="31BC6534"/>
    <w:rsid w:val="3207C2AB"/>
    <w:rsid w:val="32160F3D"/>
    <w:rsid w:val="324BCE6E"/>
    <w:rsid w:val="325D9545"/>
    <w:rsid w:val="3262204F"/>
    <w:rsid w:val="32B2107A"/>
    <w:rsid w:val="33809B71"/>
    <w:rsid w:val="33E01CD8"/>
    <w:rsid w:val="33FA2AAE"/>
    <w:rsid w:val="343DA96B"/>
    <w:rsid w:val="3463C583"/>
    <w:rsid w:val="3566D25C"/>
    <w:rsid w:val="35966395"/>
    <w:rsid w:val="3597A473"/>
    <w:rsid w:val="359CADB1"/>
    <w:rsid w:val="3611D249"/>
    <w:rsid w:val="362B1F56"/>
    <w:rsid w:val="36A25A2C"/>
    <w:rsid w:val="37729AD3"/>
    <w:rsid w:val="386C16B3"/>
    <w:rsid w:val="38A04903"/>
    <w:rsid w:val="38BF5C2A"/>
    <w:rsid w:val="38CE7B02"/>
    <w:rsid w:val="38D77CBE"/>
    <w:rsid w:val="39675544"/>
    <w:rsid w:val="39AC3D0E"/>
    <w:rsid w:val="39B9EEA7"/>
    <w:rsid w:val="39F41800"/>
    <w:rsid w:val="3A8C960E"/>
    <w:rsid w:val="3AB4001C"/>
    <w:rsid w:val="3AC002F2"/>
    <w:rsid w:val="3AC1BB4B"/>
    <w:rsid w:val="3AD08B99"/>
    <w:rsid w:val="3AEB2427"/>
    <w:rsid w:val="3BDBE06C"/>
    <w:rsid w:val="3BF538A5"/>
    <w:rsid w:val="3D1A3E44"/>
    <w:rsid w:val="3D231BC5"/>
    <w:rsid w:val="3D8E215C"/>
    <w:rsid w:val="3D932E99"/>
    <w:rsid w:val="3DB7ED68"/>
    <w:rsid w:val="3E12FA81"/>
    <w:rsid w:val="3E408F8A"/>
    <w:rsid w:val="3E45E3CF"/>
    <w:rsid w:val="3E8A0D9B"/>
    <w:rsid w:val="3EF78FD9"/>
    <w:rsid w:val="3F224B52"/>
    <w:rsid w:val="3FEF3213"/>
    <w:rsid w:val="40D292C9"/>
    <w:rsid w:val="40F61D14"/>
    <w:rsid w:val="41A83B65"/>
    <w:rsid w:val="41B2CA79"/>
    <w:rsid w:val="41B63CCC"/>
    <w:rsid w:val="4217AD05"/>
    <w:rsid w:val="423C583A"/>
    <w:rsid w:val="4241A186"/>
    <w:rsid w:val="426816B5"/>
    <w:rsid w:val="429415ED"/>
    <w:rsid w:val="42F289E3"/>
    <w:rsid w:val="434FE6AC"/>
    <w:rsid w:val="4357943F"/>
    <w:rsid w:val="437BC3EC"/>
    <w:rsid w:val="4411BC62"/>
    <w:rsid w:val="4506C501"/>
    <w:rsid w:val="451A20C5"/>
    <w:rsid w:val="4574A2F0"/>
    <w:rsid w:val="45A2C5D6"/>
    <w:rsid w:val="45BBA168"/>
    <w:rsid w:val="461DC476"/>
    <w:rsid w:val="463E1412"/>
    <w:rsid w:val="46449CEF"/>
    <w:rsid w:val="46941CCB"/>
    <w:rsid w:val="46ABD9B5"/>
    <w:rsid w:val="46F26E6B"/>
    <w:rsid w:val="4744540A"/>
    <w:rsid w:val="477F717C"/>
    <w:rsid w:val="4794B108"/>
    <w:rsid w:val="47BB8D16"/>
    <w:rsid w:val="48027C85"/>
    <w:rsid w:val="4856EEED"/>
    <w:rsid w:val="48A5B1A0"/>
    <w:rsid w:val="4919C4C0"/>
    <w:rsid w:val="4958CE99"/>
    <w:rsid w:val="498F7FFF"/>
    <w:rsid w:val="49C13CF0"/>
    <w:rsid w:val="49CD86C1"/>
    <w:rsid w:val="4A0108D4"/>
    <w:rsid w:val="4A481BC1"/>
    <w:rsid w:val="4A88EE4F"/>
    <w:rsid w:val="4A918C22"/>
    <w:rsid w:val="4B681DDA"/>
    <w:rsid w:val="4C1BEEF8"/>
    <w:rsid w:val="4C1C7F21"/>
    <w:rsid w:val="4C2B35F5"/>
    <w:rsid w:val="4C445BBF"/>
    <w:rsid w:val="4C77FB56"/>
    <w:rsid w:val="4CDA8904"/>
    <w:rsid w:val="4CF59795"/>
    <w:rsid w:val="4D2D0C18"/>
    <w:rsid w:val="4D80754F"/>
    <w:rsid w:val="4D8A5243"/>
    <w:rsid w:val="4D93E4D6"/>
    <w:rsid w:val="4DE76D0E"/>
    <w:rsid w:val="4DF102D3"/>
    <w:rsid w:val="4E5B0746"/>
    <w:rsid w:val="4E9ED3EB"/>
    <w:rsid w:val="4ECD46AA"/>
    <w:rsid w:val="4EEC9625"/>
    <w:rsid w:val="4F24D36F"/>
    <w:rsid w:val="4F280371"/>
    <w:rsid w:val="4F281109"/>
    <w:rsid w:val="4F39D371"/>
    <w:rsid w:val="4F3DD74F"/>
    <w:rsid w:val="4FD1C726"/>
    <w:rsid w:val="4FD5D6B7"/>
    <w:rsid w:val="5008577B"/>
    <w:rsid w:val="50121EA0"/>
    <w:rsid w:val="502D1852"/>
    <w:rsid w:val="5042A5C9"/>
    <w:rsid w:val="50479B5B"/>
    <w:rsid w:val="50C76A0A"/>
    <w:rsid w:val="50F28602"/>
    <w:rsid w:val="51274333"/>
    <w:rsid w:val="5140971C"/>
    <w:rsid w:val="51BD153D"/>
    <w:rsid w:val="5209321E"/>
    <w:rsid w:val="52197701"/>
    <w:rsid w:val="52AAE053"/>
    <w:rsid w:val="52D98C47"/>
    <w:rsid w:val="52EE3904"/>
    <w:rsid w:val="530A8DFD"/>
    <w:rsid w:val="531AD81F"/>
    <w:rsid w:val="532393C0"/>
    <w:rsid w:val="532B51B5"/>
    <w:rsid w:val="54452B94"/>
    <w:rsid w:val="545665BA"/>
    <w:rsid w:val="54665F4C"/>
    <w:rsid w:val="5479B063"/>
    <w:rsid w:val="5483F356"/>
    <w:rsid w:val="548991D8"/>
    <w:rsid w:val="54B10D9A"/>
    <w:rsid w:val="559FD7D5"/>
    <w:rsid w:val="55B94F2F"/>
    <w:rsid w:val="55C548FE"/>
    <w:rsid w:val="561358BD"/>
    <w:rsid w:val="568F973C"/>
    <w:rsid w:val="56E2F6B3"/>
    <w:rsid w:val="5719E3FE"/>
    <w:rsid w:val="576B0E5D"/>
    <w:rsid w:val="57B1C9ED"/>
    <w:rsid w:val="5813EEA8"/>
    <w:rsid w:val="585CD8A4"/>
    <w:rsid w:val="58814D30"/>
    <w:rsid w:val="58A4CBC9"/>
    <w:rsid w:val="58AF09C0"/>
    <w:rsid w:val="591EF2C0"/>
    <w:rsid w:val="593B4DB9"/>
    <w:rsid w:val="59467A9F"/>
    <w:rsid w:val="596C9737"/>
    <w:rsid w:val="59782CCB"/>
    <w:rsid w:val="597EF7FC"/>
    <w:rsid w:val="5986F7AB"/>
    <w:rsid w:val="59A8152B"/>
    <w:rsid w:val="5A9C2DDB"/>
    <w:rsid w:val="5AA8697F"/>
    <w:rsid w:val="5AC5BFAA"/>
    <w:rsid w:val="5AD6DAD9"/>
    <w:rsid w:val="5B099535"/>
    <w:rsid w:val="5B2ADB12"/>
    <w:rsid w:val="5B535FB9"/>
    <w:rsid w:val="5B967C0E"/>
    <w:rsid w:val="5BF2118C"/>
    <w:rsid w:val="5C31DDBB"/>
    <w:rsid w:val="5C3E0599"/>
    <w:rsid w:val="5C544CB5"/>
    <w:rsid w:val="5C774A0D"/>
    <w:rsid w:val="5CB4032C"/>
    <w:rsid w:val="5D909341"/>
    <w:rsid w:val="5DC2EED3"/>
    <w:rsid w:val="5E1E806A"/>
    <w:rsid w:val="5E3023BE"/>
    <w:rsid w:val="5E60009D"/>
    <w:rsid w:val="5E769CE8"/>
    <w:rsid w:val="5E832EFE"/>
    <w:rsid w:val="5E927346"/>
    <w:rsid w:val="5E9F01CC"/>
    <w:rsid w:val="5F698F68"/>
    <w:rsid w:val="5F6CA2E2"/>
    <w:rsid w:val="5F830A76"/>
    <w:rsid w:val="60496850"/>
    <w:rsid w:val="60611298"/>
    <w:rsid w:val="609029B1"/>
    <w:rsid w:val="61316F9F"/>
    <w:rsid w:val="61C4FD33"/>
    <w:rsid w:val="61E6FC2F"/>
    <w:rsid w:val="6203BAD0"/>
    <w:rsid w:val="6220C687"/>
    <w:rsid w:val="62687682"/>
    <w:rsid w:val="62A52B4D"/>
    <w:rsid w:val="62FDFC2A"/>
    <w:rsid w:val="63144740"/>
    <w:rsid w:val="6489E149"/>
    <w:rsid w:val="64D07914"/>
    <w:rsid w:val="652F6DE2"/>
    <w:rsid w:val="65738B68"/>
    <w:rsid w:val="65AE7816"/>
    <w:rsid w:val="65CBC8C9"/>
    <w:rsid w:val="65FAD6D3"/>
    <w:rsid w:val="663E079E"/>
    <w:rsid w:val="6654D9CA"/>
    <w:rsid w:val="66E787EA"/>
    <w:rsid w:val="66E9AD1F"/>
    <w:rsid w:val="67BD5E7A"/>
    <w:rsid w:val="6846464D"/>
    <w:rsid w:val="68484F15"/>
    <w:rsid w:val="68D84747"/>
    <w:rsid w:val="692ED494"/>
    <w:rsid w:val="697D1200"/>
    <w:rsid w:val="69844103"/>
    <w:rsid w:val="69AC6327"/>
    <w:rsid w:val="69B4B4DF"/>
    <w:rsid w:val="69C325DC"/>
    <w:rsid w:val="69C5884B"/>
    <w:rsid w:val="69EA8046"/>
    <w:rsid w:val="69F3DBAA"/>
    <w:rsid w:val="6A00FC78"/>
    <w:rsid w:val="6A0876D7"/>
    <w:rsid w:val="6A15D709"/>
    <w:rsid w:val="6AA114BC"/>
    <w:rsid w:val="6AC24884"/>
    <w:rsid w:val="6AE3B1E2"/>
    <w:rsid w:val="6B258532"/>
    <w:rsid w:val="6B9FC133"/>
    <w:rsid w:val="6BBF3444"/>
    <w:rsid w:val="6C0F1AD5"/>
    <w:rsid w:val="6C3149B8"/>
    <w:rsid w:val="6CB63791"/>
    <w:rsid w:val="6D3DE343"/>
    <w:rsid w:val="6D6630CD"/>
    <w:rsid w:val="6D98E2DA"/>
    <w:rsid w:val="6DB4901F"/>
    <w:rsid w:val="6DE3B398"/>
    <w:rsid w:val="6E34051C"/>
    <w:rsid w:val="6E44CCD9"/>
    <w:rsid w:val="6E552A77"/>
    <w:rsid w:val="6E9195A7"/>
    <w:rsid w:val="6EC1A415"/>
    <w:rsid w:val="6F65FE4C"/>
    <w:rsid w:val="6F88C397"/>
    <w:rsid w:val="6F9C847E"/>
    <w:rsid w:val="6FA324A0"/>
    <w:rsid w:val="6FA3E9FC"/>
    <w:rsid w:val="6FA7E42F"/>
    <w:rsid w:val="6FB4DDB3"/>
    <w:rsid w:val="6FCDF12E"/>
    <w:rsid w:val="6FE1C3E6"/>
    <w:rsid w:val="6FE2C8C0"/>
    <w:rsid w:val="705AF046"/>
    <w:rsid w:val="70745AFD"/>
    <w:rsid w:val="70A2BAA4"/>
    <w:rsid w:val="70ABC653"/>
    <w:rsid w:val="70D1E3DE"/>
    <w:rsid w:val="70F43D1D"/>
    <w:rsid w:val="71050766"/>
    <w:rsid w:val="71913207"/>
    <w:rsid w:val="71BE5130"/>
    <w:rsid w:val="71EDAFF9"/>
    <w:rsid w:val="72422AFF"/>
    <w:rsid w:val="7270BED8"/>
    <w:rsid w:val="727E38FC"/>
    <w:rsid w:val="7357BC76"/>
    <w:rsid w:val="73817C59"/>
    <w:rsid w:val="73A2BD90"/>
    <w:rsid w:val="73A4F89D"/>
    <w:rsid w:val="73BC5A92"/>
    <w:rsid w:val="73C8922A"/>
    <w:rsid w:val="73DD7511"/>
    <w:rsid w:val="7404D76E"/>
    <w:rsid w:val="74556521"/>
    <w:rsid w:val="747283BD"/>
    <w:rsid w:val="74F0F07B"/>
    <w:rsid w:val="74F844FD"/>
    <w:rsid w:val="7517F0E0"/>
    <w:rsid w:val="758AA22E"/>
    <w:rsid w:val="758ED790"/>
    <w:rsid w:val="75C776D3"/>
    <w:rsid w:val="7626D82F"/>
    <w:rsid w:val="7694DD4F"/>
    <w:rsid w:val="76AF54A4"/>
    <w:rsid w:val="76B42C10"/>
    <w:rsid w:val="76B43946"/>
    <w:rsid w:val="76C5FDE1"/>
    <w:rsid w:val="76E82D32"/>
    <w:rsid w:val="76EE2B37"/>
    <w:rsid w:val="774F4F88"/>
    <w:rsid w:val="775F09C7"/>
    <w:rsid w:val="77B6A5EC"/>
    <w:rsid w:val="78480B07"/>
    <w:rsid w:val="784F04DD"/>
    <w:rsid w:val="789C5B7F"/>
    <w:rsid w:val="78FCE513"/>
    <w:rsid w:val="79BCFCD0"/>
    <w:rsid w:val="79ED465B"/>
    <w:rsid w:val="79F3A1CF"/>
    <w:rsid w:val="7A40D407"/>
    <w:rsid w:val="7A55D200"/>
    <w:rsid w:val="7A697B45"/>
    <w:rsid w:val="7B2BA74D"/>
    <w:rsid w:val="7B37827F"/>
    <w:rsid w:val="7B650010"/>
    <w:rsid w:val="7B728D26"/>
    <w:rsid w:val="7B88B69A"/>
    <w:rsid w:val="7BE87D63"/>
    <w:rsid w:val="7BF98427"/>
    <w:rsid w:val="7C5E65B9"/>
    <w:rsid w:val="7C9634C4"/>
    <w:rsid w:val="7CB4ED0B"/>
    <w:rsid w:val="7CC731B0"/>
    <w:rsid w:val="7CCACE1F"/>
    <w:rsid w:val="7CDEED34"/>
    <w:rsid w:val="7D54E4A4"/>
    <w:rsid w:val="7D56D9B2"/>
    <w:rsid w:val="7DBD4006"/>
    <w:rsid w:val="7DF0AA92"/>
    <w:rsid w:val="7E00DD66"/>
    <w:rsid w:val="7E26338F"/>
    <w:rsid w:val="7E8B691B"/>
    <w:rsid w:val="7ED5254F"/>
    <w:rsid w:val="7EE648C7"/>
    <w:rsid w:val="7F2E44FB"/>
    <w:rsid w:val="7F393355"/>
    <w:rsid w:val="7F3D73D9"/>
    <w:rsid w:val="7FB52C69"/>
    <w:rsid w:val="7FC05CA2"/>
    <w:rsid w:val="7FFB42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71552"/>
  <w15:docId w15:val="{D4AC48F7-611E-4F4E-A6DE-D683C018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0"/>
      <w:ind w:left="713"/>
      <w:jc w:val="center"/>
    </w:pPr>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15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257D"/>
    <w:rPr>
      <w:sz w:val="16"/>
      <w:szCs w:val="16"/>
    </w:rPr>
  </w:style>
  <w:style w:type="paragraph" w:styleId="CommentText">
    <w:name w:val="annotation text"/>
    <w:basedOn w:val="Normal"/>
    <w:link w:val="CommentTextChar"/>
    <w:uiPriority w:val="99"/>
    <w:unhideWhenUsed/>
    <w:rsid w:val="005F257D"/>
    <w:rPr>
      <w:sz w:val="20"/>
      <w:szCs w:val="20"/>
    </w:rPr>
  </w:style>
  <w:style w:type="character" w:customStyle="1" w:styleId="CommentTextChar">
    <w:name w:val="Comment Text Char"/>
    <w:basedOn w:val="DefaultParagraphFont"/>
    <w:link w:val="CommentText"/>
    <w:uiPriority w:val="99"/>
    <w:rsid w:val="005F25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F257D"/>
    <w:rPr>
      <w:b/>
      <w:bCs/>
    </w:rPr>
  </w:style>
  <w:style w:type="character" w:customStyle="1" w:styleId="CommentSubjectChar">
    <w:name w:val="Comment Subject Char"/>
    <w:basedOn w:val="CommentTextChar"/>
    <w:link w:val="CommentSubject"/>
    <w:uiPriority w:val="99"/>
    <w:semiHidden/>
    <w:rsid w:val="005F257D"/>
    <w:rPr>
      <w:rFonts w:ascii="Arial" w:eastAsia="Arial" w:hAnsi="Arial" w:cs="Arial"/>
      <w:b/>
      <w:bCs/>
      <w:sz w:val="20"/>
      <w:szCs w:val="20"/>
    </w:rPr>
  </w:style>
  <w:style w:type="paragraph" w:styleId="Revision">
    <w:name w:val="Revision"/>
    <w:hidden/>
    <w:uiPriority w:val="99"/>
    <w:semiHidden/>
    <w:rsid w:val="00DB0C1F"/>
    <w:pPr>
      <w:widowControl/>
      <w:autoSpaceDE/>
      <w:autoSpaceDN/>
    </w:pPr>
    <w:rPr>
      <w:rFonts w:ascii="Arial" w:eastAsia="Arial" w:hAnsi="Arial" w:cs="Arial"/>
    </w:rPr>
  </w:style>
  <w:style w:type="paragraph" w:styleId="NormalWeb">
    <w:name w:val="Normal (Web)"/>
    <w:basedOn w:val="Normal"/>
    <w:uiPriority w:val="99"/>
    <w:semiHidden/>
    <w:unhideWhenUsed/>
    <w:rsid w:val="003D5C0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6E9195A7"/>
    <w:rPr>
      <w:color w:val="0000FF"/>
      <w:u w:val="single"/>
    </w:rPr>
  </w:style>
  <w:style w:type="character" w:styleId="UnresolvedMention">
    <w:name w:val="Unresolved Mention"/>
    <w:basedOn w:val="DefaultParagraphFont"/>
    <w:uiPriority w:val="99"/>
    <w:semiHidden/>
    <w:unhideWhenUsed/>
    <w:rsid w:val="00242B1E"/>
    <w:rPr>
      <w:color w:val="605E5C"/>
      <w:shd w:val="clear" w:color="auto" w:fill="E1DFDD"/>
    </w:rPr>
  </w:style>
  <w:style w:type="paragraph" w:customStyle="1" w:styleId="p1">
    <w:name w:val="p1"/>
    <w:basedOn w:val="Normal"/>
    <w:rsid w:val="0051739B"/>
    <w:pPr>
      <w:widowControl/>
      <w:autoSpaceDE/>
      <w:autoSpaceDN/>
    </w:pPr>
    <w:rPr>
      <w:rFonts w:ascii="Helvetica" w:eastAsia="Times New Roman" w:hAnsi="Helvetica" w:cs="Times New Roman"/>
      <w:color w:val="000000"/>
      <w:sz w:val="15"/>
      <w:szCs w:val="15"/>
    </w:rPr>
  </w:style>
  <w:style w:type="character" w:styleId="FollowedHyperlink">
    <w:name w:val="FollowedHyperlink"/>
    <w:basedOn w:val="DefaultParagraphFont"/>
    <w:uiPriority w:val="99"/>
    <w:semiHidden/>
    <w:unhideWhenUsed/>
    <w:rsid w:val="008F3645"/>
    <w:rPr>
      <w:color w:val="800080" w:themeColor="followedHyperlink"/>
      <w:u w:val="single"/>
    </w:rPr>
  </w:style>
  <w:style w:type="character" w:customStyle="1" w:styleId="apple-converted-space">
    <w:name w:val="apple-converted-space"/>
    <w:basedOn w:val="DefaultParagraphFont"/>
    <w:rsid w:val="002D4001"/>
  </w:style>
  <w:style w:type="character" w:styleId="Mention">
    <w:name w:val="Mention"/>
    <w:basedOn w:val="DefaultParagraphFont"/>
    <w:uiPriority w:val="99"/>
    <w:unhideWhenUsed/>
    <w:rsid w:val="00343D68"/>
    <w:rPr>
      <w:color w:val="2B579A"/>
      <w:shd w:val="clear" w:color="auto" w:fill="E1DFDD"/>
    </w:rPr>
  </w:style>
  <w:style w:type="numbering" w:customStyle="1" w:styleId="CurrentList1">
    <w:name w:val="Current List1"/>
    <w:uiPriority w:val="99"/>
    <w:rsid w:val="005E261E"/>
    <w:pPr>
      <w:numPr>
        <w:numId w:val="11"/>
      </w:numPr>
    </w:pPr>
  </w:style>
  <w:style w:type="paragraph" w:styleId="Header">
    <w:name w:val="header"/>
    <w:basedOn w:val="Normal"/>
    <w:link w:val="HeaderChar"/>
    <w:uiPriority w:val="99"/>
    <w:unhideWhenUsed/>
    <w:rsid w:val="00094E79"/>
    <w:pPr>
      <w:tabs>
        <w:tab w:val="center" w:pos="4680"/>
        <w:tab w:val="right" w:pos="9360"/>
      </w:tabs>
    </w:pPr>
  </w:style>
  <w:style w:type="character" w:customStyle="1" w:styleId="HeaderChar">
    <w:name w:val="Header Char"/>
    <w:basedOn w:val="DefaultParagraphFont"/>
    <w:link w:val="Header"/>
    <w:uiPriority w:val="99"/>
    <w:rsid w:val="00094E79"/>
    <w:rPr>
      <w:rFonts w:ascii="Arial" w:eastAsia="Arial" w:hAnsi="Arial" w:cs="Arial"/>
    </w:rPr>
  </w:style>
  <w:style w:type="paragraph" w:styleId="Footer">
    <w:name w:val="footer"/>
    <w:basedOn w:val="Normal"/>
    <w:link w:val="FooterChar"/>
    <w:uiPriority w:val="99"/>
    <w:unhideWhenUsed/>
    <w:rsid w:val="00094E79"/>
    <w:pPr>
      <w:tabs>
        <w:tab w:val="center" w:pos="4680"/>
        <w:tab w:val="right" w:pos="9360"/>
      </w:tabs>
    </w:pPr>
  </w:style>
  <w:style w:type="character" w:customStyle="1" w:styleId="FooterChar">
    <w:name w:val="Footer Char"/>
    <w:basedOn w:val="DefaultParagraphFont"/>
    <w:link w:val="Footer"/>
    <w:uiPriority w:val="99"/>
    <w:rsid w:val="00094E79"/>
    <w:rPr>
      <w:rFonts w:ascii="Arial" w:eastAsia="Arial" w:hAnsi="Arial" w:cs="Arial"/>
    </w:rPr>
  </w:style>
  <w:style w:type="character" w:styleId="PageNumber">
    <w:name w:val="page number"/>
    <w:basedOn w:val="DefaultParagraphFont"/>
    <w:uiPriority w:val="99"/>
    <w:semiHidden/>
    <w:unhideWhenUsed/>
    <w:rsid w:val="00094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92983">
      <w:bodyDiv w:val="1"/>
      <w:marLeft w:val="0"/>
      <w:marRight w:val="0"/>
      <w:marTop w:val="0"/>
      <w:marBottom w:val="0"/>
      <w:divBdr>
        <w:top w:val="none" w:sz="0" w:space="0" w:color="auto"/>
        <w:left w:val="none" w:sz="0" w:space="0" w:color="auto"/>
        <w:bottom w:val="none" w:sz="0" w:space="0" w:color="auto"/>
        <w:right w:val="none" w:sz="0" w:space="0" w:color="auto"/>
      </w:divBdr>
    </w:div>
    <w:div w:id="190342007">
      <w:bodyDiv w:val="1"/>
      <w:marLeft w:val="0"/>
      <w:marRight w:val="0"/>
      <w:marTop w:val="0"/>
      <w:marBottom w:val="0"/>
      <w:divBdr>
        <w:top w:val="none" w:sz="0" w:space="0" w:color="auto"/>
        <w:left w:val="none" w:sz="0" w:space="0" w:color="auto"/>
        <w:bottom w:val="none" w:sz="0" w:space="0" w:color="auto"/>
        <w:right w:val="none" w:sz="0" w:space="0" w:color="auto"/>
      </w:divBdr>
    </w:div>
    <w:div w:id="256644924">
      <w:bodyDiv w:val="1"/>
      <w:marLeft w:val="0"/>
      <w:marRight w:val="0"/>
      <w:marTop w:val="0"/>
      <w:marBottom w:val="0"/>
      <w:divBdr>
        <w:top w:val="none" w:sz="0" w:space="0" w:color="auto"/>
        <w:left w:val="none" w:sz="0" w:space="0" w:color="auto"/>
        <w:bottom w:val="none" w:sz="0" w:space="0" w:color="auto"/>
        <w:right w:val="none" w:sz="0" w:space="0" w:color="auto"/>
      </w:divBdr>
    </w:div>
    <w:div w:id="330261018">
      <w:bodyDiv w:val="1"/>
      <w:marLeft w:val="0"/>
      <w:marRight w:val="0"/>
      <w:marTop w:val="0"/>
      <w:marBottom w:val="0"/>
      <w:divBdr>
        <w:top w:val="none" w:sz="0" w:space="0" w:color="auto"/>
        <w:left w:val="none" w:sz="0" w:space="0" w:color="auto"/>
        <w:bottom w:val="none" w:sz="0" w:space="0" w:color="auto"/>
        <w:right w:val="none" w:sz="0" w:space="0" w:color="auto"/>
      </w:divBdr>
    </w:div>
    <w:div w:id="417101194">
      <w:bodyDiv w:val="1"/>
      <w:marLeft w:val="0"/>
      <w:marRight w:val="0"/>
      <w:marTop w:val="0"/>
      <w:marBottom w:val="0"/>
      <w:divBdr>
        <w:top w:val="none" w:sz="0" w:space="0" w:color="auto"/>
        <w:left w:val="none" w:sz="0" w:space="0" w:color="auto"/>
        <w:bottom w:val="none" w:sz="0" w:space="0" w:color="auto"/>
        <w:right w:val="none" w:sz="0" w:space="0" w:color="auto"/>
      </w:divBdr>
    </w:div>
    <w:div w:id="440880189">
      <w:bodyDiv w:val="1"/>
      <w:marLeft w:val="0"/>
      <w:marRight w:val="0"/>
      <w:marTop w:val="0"/>
      <w:marBottom w:val="0"/>
      <w:divBdr>
        <w:top w:val="none" w:sz="0" w:space="0" w:color="auto"/>
        <w:left w:val="none" w:sz="0" w:space="0" w:color="auto"/>
        <w:bottom w:val="none" w:sz="0" w:space="0" w:color="auto"/>
        <w:right w:val="none" w:sz="0" w:space="0" w:color="auto"/>
      </w:divBdr>
    </w:div>
    <w:div w:id="497963306">
      <w:bodyDiv w:val="1"/>
      <w:marLeft w:val="0"/>
      <w:marRight w:val="0"/>
      <w:marTop w:val="0"/>
      <w:marBottom w:val="0"/>
      <w:divBdr>
        <w:top w:val="none" w:sz="0" w:space="0" w:color="auto"/>
        <w:left w:val="none" w:sz="0" w:space="0" w:color="auto"/>
        <w:bottom w:val="none" w:sz="0" w:space="0" w:color="auto"/>
        <w:right w:val="none" w:sz="0" w:space="0" w:color="auto"/>
      </w:divBdr>
    </w:div>
    <w:div w:id="645478409">
      <w:bodyDiv w:val="1"/>
      <w:marLeft w:val="0"/>
      <w:marRight w:val="0"/>
      <w:marTop w:val="0"/>
      <w:marBottom w:val="0"/>
      <w:divBdr>
        <w:top w:val="none" w:sz="0" w:space="0" w:color="auto"/>
        <w:left w:val="none" w:sz="0" w:space="0" w:color="auto"/>
        <w:bottom w:val="none" w:sz="0" w:space="0" w:color="auto"/>
        <w:right w:val="none" w:sz="0" w:space="0" w:color="auto"/>
      </w:divBdr>
    </w:div>
    <w:div w:id="731931510">
      <w:bodyDiv w:val="1"/>
      <w:marLeft w:val="0"/>
      <w:marRight w:val="0"/>
      <w:marTop w:val="0"/>
      <w:marBottom w:val="0"/>
      <w:divBdr>
        <w:top w:val="none" w:sz="0" w:space="0" w:color="auto"/>
        <w:left w:val="none" w:sz="0" w:space="0" w:color="auto"/>
        <w:bottom w:val="none" w:sz="0" w:space="0" w:color="auto"/>
        <w:right w:val="none" w:sz="0" w:space="0" w:color="auto"/>
      </w:divBdr>
    </w:div>
    <w:div w:id="754516703">
      <w:bodyDiv w:val="1"/>
      <w:marLeft w:val="0"/>
      <w:marRight w:val="0"/>
      <w:marTop w:val="0"/>
      <w:marBottom w:val="0"/>
      <w:divBdr>
        <w:top w:val="none" w:sz="0" w:space="0" w:color="auto"/>
        <w:left w:val="none" w:sz="0" w:space="0" w:color="auto"/>
        <w:bottom w:val="none" w:sz="0" w:space="0" w:color="auto"/>
        <w:right w:val="none" w:sz="0" w:space="0" w:color="auto"/>
      </w:divBdr>
    </w:div>
    <w:div w:id="853570496">
      <w:bodyDiv w:val="1"/>
      <w:marLeft w:val="0"/>
      <w:marRight w:val="0"/>
      <w:marTop w:val="0"/>
      <w:marBottom w:val="0"/>
      <w:divBdr>
        <w:top w:val="none" w:sz="0" w:space="0" w:color="auto"/>
        <w:left w:val="none" w:sz="0" w:space="0" w:color="auto"/>
        <w:bottom w:val="none" w:sz="0" w:space="0" w:color="auto"/>
        <w:right w:val="none" w:sz="0" w:space="0" w:color="auto"/>
      </w:divBdr>
      <w:divsChild>
        <w:div w:id="463278920">
          <w:marLeft w:val="0"/>
          <w:marRight w:val="0"/>
          <w:marTop w:val="0"/>
          <w:marBottom w:val="0"/>
          <w:divBdr>
            <w:top w:val="none" w:sz="0" w:space="0" w:color="auto"/>
            <w:left w:val="none" w:sz="0" w:space="0" w:color="auto"/>
            <w:bottom w:val="none" w:sz="0" w:space="0" w:color="auto"/>
            <w:right w:val="none" w:sz="0" w:space="0" w:color="auto"/>
          </w:divBdr>
        </w:div>
        <w:div w:id="2089112015">
          <w:marLeft w:val="0"/>
          <w:marRight w:val="0"/>
          <w:marTop w:val="0"/>
          <w:marBottom w:val="0"/>
          <w:divBdr>
            <w:top w:val="none" w:sz="0" w:space="0" w:color="auto"/>
            <w:left w:val="none" w:sz="0" w:space="0" w:color="auto"/>
            <w:bottom w:val="none" w:sz="0" w:space="0" w:color="auto"/>
            <w:right w:val="none" w:sz="0" w:space="0" w:color="auto"/>
          </w:divBdr>
        </w:div>
      </w:divsChild>
    </w:div>
    <w:div w:id="861240293">
      <w:bodyDiv w:val="1"/>
      <w:marLeft w:val="0"/>
      <w:marRight w:val="0"/>
      <w:marTop w:val="0"/>
      <w:marBottom w:val="0"/>
      <w:divBdr>
        <w:top w:val="none" w:sz="0" w:space="0" w:color="auto"/>
        <w:left w:val="none" w:sz="0" w:space="0" w:color="auto"/>
        <w:bottom w:val="none" w:sz="0" w:space="0" w:color="auto"/>
        <w:right w:val="none" w:sz="0" w:space="0" w:color="auto"/>
      </w:divBdr>
    </w:div>
    <w:div w:id="883297695">
      <w:bodyDiv w:val="1"/>
      <w:marLeft w:val="0"/>
      <w:marRight w:val="0"/>
      <w:marTop w:val="0"/>
      <w:marBottom w:val="0"/>
      <w:divBdr>
        <w:top w:val="none" w:sz="0" w:space="0" w:color="auto"/>
        <w:left w:val="none" w:sz="0" w:space="0" w:color="auto"/>
        <w:bottom w:val="none" w:sz="0" w:space="0" w:color="auto"/>
        <w:right w:val="none" w:sz="0" w:space="0" w:color="auto"/>
      </w:divBdr>
    </w:div>
    <w:div w:id="1009721524">
      <w:bodyDiv w:val="1"/>
      <w:marLeft w:val="0"/>
      <w:marRight w:val="0"/>
      <w:marTop w:val="0"/>
      <w:marBottom w:val="0"/>
      <w:divBdr>
        <w:top w:val="none" w:sz="0" w:space="0" w:color="auto"/>
        <w:left w:val="none" w:sz="0" w:space="0" w:color="auto"/>
        <w:bottom w:val="none" w:sz="0" w:space="0" w:color="auto"/>
        <w:right w:val="none" w:sz="0" w:space="0" w:color="auto"/>
      </w:divBdr>
    </w:div>
    <w:div w:id="1032657261">
      <w:bodyDiv w:val="1"/>
      <w:marLeft w:val="0"/>
      <w:marRight w:val="0"/>
      <w:marTop w:val="0"/>
      <w:marBottom w:val="0"/>
      <w:divBdr>
        <w:top w:val="none" w:sz="0" w:space="0" w:color="auto"/>
        <w:left w:val="none" w:sz="0" w:space="0" w:color="auto"/>
        <w:bottom w:val="none" w:sz="0" w:space="0" w:color="auto"/>
        <w:right w:val="none" w:sz="0" w:space="0" w:color="auto"/>
      </w:divBdr>
    </w:div>
    <w:div w:id="1225340197">
      <w:bodyDiv w:val="1"/>
      <w:marLeft w:val="0"/>
      <w:marRight w:val="0"/>
      <w:marTop w:val="0"/>
      <w:marBottom w:val="0"/>
      <w:divBdr>
        <w:top w:val="none" w:sz="0" w:space="0" w:color="auto"/>
        <w:left w:val="none" w:sz="0" w:space="0" w:color="auto"/>
        <w:bottom w:val="none" w:sz="0" w:space="0" w:color="auto"/>
        <w:right w:val="none" w:sz="0" w:space="0" w:color="auto"/>
      </w:divBdr>
    </w:div>
    <w:div w:id="1267542450">
      <w:bodyDiv w:val="1"/>
      <w:marLeft w:val="0"/>
      <w:marRight w:val="0"/>
      <w:marTop w:val="0"/>
      <w:marBottom w:val="0"/>
      <w:divBdr>
        <w:top w:val="none" w:sz="0" w:space="0" w:color="auto"/>
        <w:left w:val="none" w:sz="0" w:space="0" w:color="auto"/>
        <w:bottom w:val="none" w:sz="0" w:space="0" w:color="auto"/>
        <w:right w:val="none" w:sz="0" w:space="0" w:color="auto"/>
      </w:divBdr>
    </w:div>
    <w:div w:id="1288506253">
      <w:bodyDiv w:val="1"/>
      <w:marLeft w:val="0"/>
      <w:marRight w:val="0"/>
      <w:marTop w:val="0"/>
      <w:marBottom w:val="0"/>
      <w:divBdr>
        <w:top w:val="none" w:sz="0" w:space="0" w:color="auto"/>
        <w:left w:val="none" w:sz="0" w:space="0" w:color="auto"/>
        <w:bottom w:val="none" w:sz="0" w:space="0" w:color="auto"/>
        <w:right w:val="none" w:sz="0" w:space="0" w:color="auto"/>
      </w:divBdr>
      <w:divsChild>
        <w:div w:id="794182689">
          <w:marLeft w:val="0"/>
          <w:marRight w:val="0"/>
          <w:marTop w:val="0"/>
          <w:marBottom w:val="0"/>
          <w:divBdr>
            <w:top w:val="none" w:sz="0" w:space="0" w:color="auto"/>
            <w:left w:val="none" w:sz="0" w:space="0" w:color="auto"/>
            <w:bottom w:val="none" w:sz="0" w:space="0" w:color="auto"/>
            <w:right w:val="none" w:sz="0" w:space="0" w:color="auto"/>
          </w:divBdr>
        </w:div>
        <w:div w:id="1507134553">
          <w:marLeft w:val="0"/>
          <w:marRight w:val="0"/>
          <w:marTop w:val="0"/>
          <w:marBottom w:val="0"/>
          <w:divBdr>
            <w:top w:val="none" w:sz="0" w:space="0" w:color="auto"/>
            <w:left w:val="none" w:sz="0" w:space="0" w:color="auto"/>
            <w:bottom w:val="none" w:sz="0" w:space="0" w:color="auto"/>
            <w:right w:val="none" w:sz="0" w:space="0" w:color="auto"/>
          </w:divBdr>
        </w:div>
      </w:divsChild>
    </w:div>
    <w:div w:id="1357193947">
      <w:bodyDiv w:val="1"/>
      <w:marLeft w:val="0"/>
      <w:marRight w:val="0"/>
      <w:marTop w:val="0"/>
      <w:marBottom w:val="0"/>
      <w:divBdr>
        <w:top w:val="none" w:sz="0" w:space="0" w:color="auto"/>
        <w:left w:val="none" w:sz="0" w:space="0" w:color="auto"/>
        <w:bottom w:val="none" w:sz="0" w:space="0" w:color="auto"/>
        <w:right w:val="none" w:sz="0" w:space="0" w:color="auto"/>
      </w:divBdr>
    </w:div>
    <w:div w:id="1386753975">
      <w:bodyDiv w:val="1"/>
      <w:marLeft w:val="0"/>
      <w:marRight w:val="0"/>
      <w:marTop w:val="0"/>
      <w:marBottom w:val="0"/>
      <w:divBdr>
        <w:top w:val="none" w:sz="0" w:space="0" w:color="auto"/>
        <w:left w:val="none" w:sz="0" w:space="0" w:color="auto"/>
        <w:bottom w:val="none" w:sz="0" w:space="0" w:color="auto"/>
        <w:right w:val="none" w:sz="0" w:space="0" w:color="auto"/>
      </w:divBdr>
    </w:div>
    <w:div w:id="1424378143">
      <w:bodyDiv w:val="1"/>
      <w:marLeft w:val="0"/>
      <w:marRight w:val="0"/>
      <w:marTop w:val="0"/>
      <w:marBottom w:val="0"/>
      <w:divBdr>
        <w:top w:val="none" w:sz="0" w:space="0" w:color="auto"/>
        <w:left w:val="none" w:sz="0" w:space="0" w:color="auto"/>
        <w:bottom w:val="none" w:sz="0" w:space="0" w:color="auto"/>
        <w:right w:val="none" w:sz="0" w:space="0" w:color="auto"/>
      </w:divBdr>
    </w:div>
    <w:div w:id="1436098469">
      <w:bodyDiv w:val="1"/>
      <w:marLeft w:val="0"/>
      <w:marRight w:val="0"/>
      <w:marTop w:val="0"/>
      <w:marBottom w:val="0"/>
      <w:divBdr>
        <w:top w:val="none" w:sz="0" w:space="0" w:color="auto"/>
        <w:left w:val="none" w:sz="0" w:space="0" w:color="auto"/>
        <w:bottom w:val="none" w:sz="0" w:space="0" w:color="auto"/>
        <w:right w:val="none" w:sz="0" w:space="0" w:color="auto"/>
      </w:divBdr>
    </w:div>
    <w:div w:id="1708599094">
      <w:bodyDiv w:val="1"/>
      <w:marLeft w:val="0"/>
      <w:marRight w:val="0"/>
      <w:marTop w:val="0"/>
      <w:marBottom w:val="0"/>
      <w:divBdr>
        <w:top w:val="none" w:sz="0" w:space="0" w:color="auto"/>
        <w:left w:val="none" w:sz="0" w:space="0" w:color="auto"/>
        <w:bottom w:val="none" w:sz="0" w:space="0" w:color="auto"/>
        <w:right w:val="none" w:sz="0" w:space="0" w:color="auto"/>
      </w:divBdr>
    </w:div>
    <w:div w:id="1784613369">
      <w:bodyDiv w:val="1"/>
      <w:marLeft w:val="0"/>
      <w:marRight w:val="0"/>
      <w:marTop w:val="0"/>
      <w:marBottom w:val="0"/>
      <w:divBdr>
        <w:top w:val="none" w:sz="0" w:space="0" w:color="auto"/>
        <w:left w:val="none" w:sz="0" w:space="0" w:color="auto"/>
        <w:bottom w:val="none" w:sz="0" w:space="0" w:color="auto"/>
        <w:right w:val="none" w:sz="0" w:space="0" w:color="auto"/>
      </w:divBdr>
      <w:divsChild>
        <w:div w:id="51465381">
          <w:marLeft w:val="0"/>
          <w:marRight w:val="0"/>
          <w:marTop w:val="0"/>
          <w:marBottom w:val="0"/>
          <w:divBdr>
            <w:top w:val="none" w:sz="0" w:space="0" w:color="auto"/>
            <w:left w:val="none" w:sz="0" w:space="0" w:color="auto"/>
            <w:bottom w:val="none" w:sz="0" w:space="0" w:color="auto"/>
            <w:right w:val="none" w:sz="0" w:space="0" w:color="auto"/>
          </w:divBdr>
        </w:div>
        <w:div w:id="369572077">
          <w:marLeft w:val="0"/>
          <w:marRight w:val="0"/>
          <w:marTop w:val="0"/>
          <w:marBottom w:val="0"/>
          <w:divBdr>
            <w:top w:val="none" w:sz="0" w:space="0" w:color="auto"/>
            <w:left w:val="none" w:sz="0" w:space="0" w:color="auto"/>
            <w:bottom w:val="none" w:sz="0" w:space="0" w:color="auto"/>
            <w:right w:val="none" w:sz="0" w:space="0" w:color="auto"/>
          </w:divBdr>
        </w:div>
        <w:div w:id="591932885">
          <w:marLeft w:val="0"/>
          <w:marRight w:val="0"/>
          <w:marTop w:val="0"/>
          <w:marBottom w:val="0"/>
          <w:divBdr>
            <w:top w:val="none" w:sz="0" w:space="0" w:color="auto"/>
            <w:left w:val="none" w:sz="0" w:space="0" w:color="auto"/>
            <w:bottom w:val="none" w:sz="0" w:space="0" w:color="auto"/>
            <w:right w:val="none" w:sz="0" w:space="0" w:color="auto"/>
          </w:divBdr>
        </w:div>
        <w:div w:id="656809197">
          <w:marLeft w:val="0"/>
          <w:marRight w:val="0"/>
          <w:marTop w:val="0"/>
          <w:marBottom w:val="0"/>
          <w:divBdr>
            <w:top w:val="none" w:sz="0" w:space="0" w:color="auto"/>
            <w:left w:val="none" w:sz="0" w:space="0" w:color="auto"/>
            <w:bottom w:val="none" w:sz="0" w:space="0" w:color="auto"/>
            <w:right w:val="none" w:sz="0" w:space="0" w:color="auto"/>
          </w:divBdr>
        </w:div>
        <w:div w:id="779952712">
          <w:marLeft w:val="0"/>
          <w:marRight w:val="0"/>
          <w:marTop w:val="0"/>
          <w:marBottom w:val="0"/>
          <w:divBdr>
            <w:top w:val="none" w:sz="0" w:space="0" w:color="auto"/>
            <w:left w:val="none" w:sz="0" w:space="0" w:color="auto"/>
            <w:bottom w:val="none" w:sz="0" w:space="0" w:color="auto"/>
            <w:right w:val="none" w:sz="0" w:space="0" w:color="auto"/>
          </w:divBdr>
        </w:div>
        <w:div w:id="1115976274">
          <w:marLeft w:val="0"/>
          <w:marRight w:val="0"/>
          <w:marTop w:val="0"/>
          <w:marBottom w:val="0"/>
          <w:divBdr>
            <w:top w:val="none" w:sz="0" w:space="0" w:color="auto"/>
            <w:left w:val="none" w:sz="0" w:space="0" w:color="auto"/>
            <w:bottom w:val="none" w:sz="0" w:space="0" w:color="auto"/>
            <w:right w:val="none" w:sz="0" w:space="0" w:color="auto"/>
          </w:divBdr>
        </w:div>
        <w:div w:id="1308821100">
          <w:marLeft w:val="0"/>
          <w:marRight w:val="0"/>
          <w:marTop w:val="0"/>
          <w:marBottom w:val="0"/>
          <w:divBdr>
            <w:top w:val="none" w:sz="0" w:space="0" w:color="auto"/>
            <w:left w:val="none" w:sz="0" w:space="0" w:color="auto"/>
            <w:bottom w:val="none" w:sz="0" w:space="0" w:color="auto"/>
            <w:right w:val="none" w:sz="0" w:space="0" w:color="auto"/>
          </w:divBdr>
        </w:div>
        <w:div w:id="1334188021">
          <w:marLeft w:val="0"/>
          <w:marRight w:val="0"/>
          <w:marTop w:val="0"/>
          <w:marBottom w:val="0"/>
          <w:divBdr>
            <w:top w:val="none" w:sz="0" w:space="0" w:color="auto"/>
            <w:left w:val="none" w:sz="0" w:space="0" w:color="auto"/>
            <w:bottom w:val="none" w:sz="0" w:space="0" w:color="auto"/>
            <w:right w:val="none" w:sz="0" w:space="0" w:color="auto"/>
          </w:divBdr>
        </w:div>
        <w:div w:id="1403261861">
          <w:marLeft w:val="0"/>
          <w:marRight w:val="0"/>
          <w:marTop w:val="0"/>
          <w:marBottom w:val="0"/>
          <w:divBdr>
            <w:top w:val="none" w:sz="0" w:space="0" w:color="auto"/>
            <w:left w:val="none" w:sz="0" w:space="0" w:color="auto"/>
            <w:bottom w:val="none" w:sz="0" w:space="0" w:color="auto"/>
            <w:right w:val="none" w:sz="0" w:space="0" w:color="auto"/>
          </w:divBdr>
        </w:div>
        <w:div w:id="1650670171">
          <w:marLeft w:val="0"/>
          <w:marRight w:val="0"/>
          <w:marTop w:val="0"/>
          <w:marBottom w:val="0"/>
          <w:divBdr>
            <w:top w:val="none" w:sz="0" w:space="0" w:color="auto"/>
            <w:left w:val="none" w:sz="0" w:space="0" w:color="auto"/>
            <w:bottom w:val="none" w:sz="0" w:space="0" w:color="auto"/>
            <w:right w:val="none" w:sz="0" w:space="0" w:color="auto"/>
          </w:divBdr>
        </w:div>
        <w:div w:id="1764766457">
          <w:marLeft w:val="0"/>
          <w:marRight w:val="0"/>
          <w:marTop w:val="0"/>
          <w:marBottom w:val="0"/>
          <w:divBdr>
            <w:top w:val="none" w:sz="0" w:space="0" w:color="auto"/>
            <w:left w:val="none" w:sz="0" w:space="0" w:color="auto"/>
            <w:bottom w:val="none" w:sz="0" w:space="0" w:color="auto"/>
            <w:right w:val="none" w:sz="0" w:space="0" w:color="auto"/>
          </w:divBdr>
        </w:div>
      </w:divsChild>
    </w:div>
    <w:div w:id="1826974123">
      <w:bodyDiv w:val="1"/>
      <w:marLeft w:val="0"/>
      <w:marRight w:val="0"/>
      <w:marTop w:val="0"/>
      <w:marBottom w:val="0"/>
      <w:divBdr>
        <w:top w:val="none" w:sz="0" w:space="0" w:color="auto"/>
        <w:left w:val="none" w:sz="0" w:space="0" w:color="auto"/>
        <w:bottom w:val="none" w:sz="0" w:space="0" w:color="auto"/>
        <w:right w:val="none" w:sz="0" w:space="0" w:color="auto"/>
      </w:divBdr>
    </w:div>
    <w:div w:id="1831364320">
      <w:bodyDiv w:val="1"/>
      <w:marLeft w:val="0"/>
      <w:marRight w:val="0"/>
      <w:marTop w:val="0"/>
      <w:marBottom w:val="0"/>
      <w:divBdr>
        <w:top w:val="none" w:sz="0" w:space="0" w:color="auto"/>
        <w:left w:val="none" w:sz="0" w:space="0" w:color="auto"/>
        <w:bottom w:val="none" w:sz="0" w:space="0" w:color="auto"/>
        <w:right w:val="none" w:sz="0" w:space="0" w:color="auto"/>
      </w:divBdr>
      <w:divsChild>
        <w:div w:id="1130247298">
          <w:marLeft w:val="0"/>
          <w:marRight w:val="0"/>
          <w:marTop w:val="0"/>
          <w:marBottom w:val="0"/>
          <w:divBdr>
            <w:top w:val="none" w:sz="0" w:space="0" w:color="auto"/>
            <w:left w:val="none" w:sz="0" w:space="0" w:color="auto"/>
            <w:bottom w:val="none" w:sz="0" w:space="0" w:color="auto"/>
            <w:right w:val="none" w:sz="0" w:space="0" w:color="auto"/>
          </w:divBdr>
        </w:div>
        <w:div w:id="1365325015">
          <w:marLeft w:val="0"/>
          <w:marRight w:val="0"/>
          <w:marTop w:val="0"/>
          <w:marBottom w:val="0"/>
          <w:divBdr>
            <w:top w:val="none" w:sz="0" w:space="0" w:color="auto"/>
            <w:left w:val="none" w:sz="0" w:space="0" w:color="auto"/>
            <w:bottom w:val="none" w:sz="0" w:space="0" w:color="auto"/>
            <w:right w:val="none" w:sz="0" w:space="0" w:color="auto"/>
          </w:divBdr>
        </w:div>
        <w:div w:id="2065059744">
          <w:marLeft w:val="0"/>
          <w:marRight w:val="0"/>
          <w:marTop w:val="0"/>
          <w:marBottom w:val="0"/>
          <w:divBdr>
            <w:top w:val="none" w:sz="0" w:space="0" w:color="auto"/>
            <w:left w:val="none" w:sz="0" w:space="0" w:color="auto"/>
            <w:bottom w:val="none" w:sz="0" w:space="0" w:color="auto"/>
            <w:right w:val="none" w:sz="0" w:space="0" w:color="auto"/>
          </w:divBdr>
        </w:div>
      </w:divsChild>
    </w:div>
    <w:div w:id="1860923647">
      <w:bodyDiv w:val="1"/>
      <w:marLeft w:val="0"/>
      <w:marRight w:val="0"/>
      <w:marTop w:val="0"/>
      <w:marBottom w:val="0"/>
      <w:divBdr>
        <w:top w:val="none" w:sz="0" w:space="0" w:color="auto"/>
        <w:left w:val="none" w:sz="0" w:space="0" w:color="auto"/>
        <w:bottom w:val="none" w:sz="0" w:space="0" w:color="auto"/>
        <w:right w:val="none" w:sz="0" w:space="0" w:color="auto"/>
      </w:divBdr>
    </w:div>
    <w:div w:id="2061129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awaiianelectric.com/about-us/performance-scorecards-and-metric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c.virginia.gov/media/sccvirginiagov-home/regulated-industries/utility-regulation/energy-regulation/2024-veur.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8144e7327f648c595f8fe404acef197 xmlns="a1df9832-fa29-4d0b-8301-c5ccf72ca850">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1196e416-c1e2-46e4-892a-39f21fb650b4</TermId>
        </TermInfo>
      </Terms>
    </e8144e7327f648c595f8fe404acef197>
    <i44d58dc1cf74c3bb0600f75e80272a0 xmlns="a1df9832-fa29-4d0b-8301-c5ccf72ca850">
      <Terms xmlns="http://schemas.microsoft.com/office/infopath/2007/PartnerControls"/>
    </i44d58dc1cf74c3bb0600f75e80272a0>
    <Extracted_x0020_Text xmlns="a1df9832-fa29-4d0b-8301-c5ccf72ca850" xsi:nil="true"/>
    <TaxCatchAll xmlns="a1df9832-fa29-4d0b-8301-c5ccf72ca850">
      <Value>475</Value>
      <Value>2</Value>
      <Value>1</Value>
      <Value>476</Value>
    </TaxCatchAll>
    <TaxKeywordTaxHTField xmlns="a1df9832-fa29-4d0b-8301-c5ccf72ca850">
      <Terms xmlns="http://schemas.microsoft.com/office/infopath/2007/PartnerControls"/>
    </TaxKeywordTaxHTField>
    <o811e3c0c0214fc6bb33522f4837a579 xmlns="a1df9832-fa29-4d0b-8301-c5ccf72ca850">
      <Terms xmlns="http://schemas.microsoft.com/office/infopath/2007/PartnerControls">
        <TermInfo xmlns="http://schemas.microsoft.com/office/infopath/2007/PartnerControls">
          <TermName xmlns="http://schemas.microsoft.com/office/infopath/2007/PartnerControls">Restricted - Internal use only</TermName>
          <TermId xmlns="http://schemas.microsoft.com/office/infopath/2007/PartnerControls">16e0e62b-45fc-43f2-9316-8e87a381ed63</TermId>
        </TermInfo>
      </Terms>
    </o811e3c0c0214fc6bb33522f4837a579>
    <n748466ce81f4d068bd498403e1ecc4b xmlns="a1df9832-fa29-4d0b-8301-c5ccf72ca850">
      <Terms xmlns="http://schemas.microsoft.com/office/infopath/2007/PartnerControls"/>
    </n748466ce81f4d068bd498403e1ecc4b>
    <KeyPoints xmlns="a1df9832-fa29-4d0b-8301-c5ccf72ca850" xsi:nil="true"/>
    <Project xmlns="a1df9832-fa29-4d0b-8301-c5ccf72ca850" xsi:nil="true"/>
    <k7031f0ddbec44908666ccec4dca0b46 xmlns="a1df9832-fa29-4d0b-8301-c5ccf72ca850">
      <Terms xmlns="http://schemas.microsoft.com/office/infopath/2007/PartnerControls"/>
    </k7031f0ddbec44908666ccec4dca0b46>
    <m26e38606aa543cb981614fc6d49280d xmlns="a1df9832-fa29-4d0b-8301-c5ccf72ca850">
      <Terms xmlns="http://schemas.microsoft.com/office/infopath/2007/PartnerControls"/>
    </m26e38606aa543cb981614fc6d49280d>
    <m2d3b84e453a41b493d2f8293d453bfc xmlns="a1df9832-fa29-4d0b-8301-c5ccf72ca850">
      <Terms xmlns="http://schemas.microsoft.com/office/infopath/2007/PartnerControls"/>
    </m2d3b84e453a41b493d2f8293d453bfc>
    <n886c46fede847c080398018f40c4c47 xmlns="a1df9832-fa29-4d0b-8301-c5ccf72ca850">
      <Terms xmlns="http://schemas.microsoft.com/office/infopath/2007/PartnerControls"/>
    </n886c46fede847c080398018f40c4c47>
    <n48685bf95bc4b8fa4aa6bfb34ecb222 xmlns="a1df9832-fa29-4d0b-8301-c5ccf72ca850">
      <Terms xmlns="http://schemas.microsoft.com/office/infopath/2007/PartnerControls">
        <TermInfo xmlns="http://schemas.microsoft.com/office/infopath/2007/PartnerControls">
          <TermName xmlns="http://schemas.microsoft.com/office/infopath/2007/PartnerControls">Electricity</TermName>
          <TermId xmlns="http://schemas.microsoft.com/office/infopath/2007/PartnerControls">477afd54-3aee-4d07-8712-a2801099faca</TermId>
        </TermInfo>
      </Terms>
    </n48685bf95bc4b8fa4aa6bfb34ecb222>
    <eda3356070224fe59cf39745c882f8c6 xmlns="a1df9832-fa29-4d0b-8301-c5ccf72ca850">
      <Terms xmlns="http://schemas.microsoft.com/office/infopath/2007/PartnerControls">
        <TermInfo xmlns="http://schemas.microsoft.com/office/infopath/2007/PartnerControls">
          <TermName xmlns="http://schemas.microsoft.com/office/infopath/2007/PartnerControls">ELC - Business Models and Rate Design</TermName>
          <TermId xmlns="http://schemas.microsoft.com/office/infopath/2007/PartnerControls">ffeff133-4d9e-449e-b81c-ffb439651999</TermId>
        </TermInfo>
      </Terms>
    </eda3356070224fe59cf39745c882f8c6>
    <Tags xmlns="a1df9832-fa29-4d0b-8301-c5ccf72ca85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rogram Document" ma:contentTypeID="0x010100C2CFE70F12B8554A80D65BC4AE2EF620007B67C6C5B3513F49BE5E2C99CD186067" ma:contentTypeVersion="52" ma:contentTypeDescription="" ma:contentTypeScope="" ma:versionID="ed45521bacc7c9bd3e3fb44af6983c5b">
  <xsd:schema xmlns:xsd="http://www.w3.org/2001/XMLSchema" xmlns:xs="http://www.w3.org/2001/XMLSchema" xmlns:p="http://schemas.microsoft.com/office/2006/metadata/properties" xmlns:ns2="a1df9832-fa29-4d0b-8301-c5ccf72ca850" targetNamespace="http://schemas.microsoft.com/office/2006/metadata/properties" ma:root="true" ma:fieldsID="b8e761a6c34359020b0d861511fd24d1" ns2:_="">
    <xsd:import namespace="a1df9832-fa29-4d0b-8301-c5ccf72ca850"/>
    <xsd:element name="properties">
      <xsd:complexType>
        <xsd:sequence>
          <xsd:element name="documentManagement">
            <xsd:complexType>
              <xsd:all>
                <xsd:element ref="ns2:i44d58dc1cf74c3bb0600f75e80272a0" minOccurs="0"/>
                <xsd:element ref="ns2:k7031f0ddbec44908666ccec4dca0b46" minOccurs="0"/>
                <xsd:element ref="ns2:m26e38606aa543cb981614fc6d49280d" minOccurs="0"/>
                <xsd:element ref="ns2:n48685bf95bc4b8fa4aa6bfb34ecb222" minOccurs="0"/>
                <xsd:element ref="ns2:TaxCatchAll" minOccurs="0"/>
                <xsd:element ref="ns2:eda3356070224fe59cf39745c882f8c6" minOccurs="0"/>
                <xsd:element ref="ns2:n748466ce81f4d068bd498403e1ecc4b" minOccurs="0"/>
                <xsd:element ref="ns2:TaxCatchAllLabel" minOccurs="0"/>
                <xsd:element ref="ns2:n886c46fede847c080398018f40c4c47" minOccurs="0"/>
                <xsd:element ref="ns2:TaxKeywordTaxHTField" minOccurs="0"/>
                <xsd:element ref="ns2:e8144e7327f648c595f8fe404acef197" minOccurs="0"/>
                <xsd:element ref="ns2:o811e3c0c0214fc6bb33522f4837a579" minOccurs="0"/>
                <xsd:element ref="ns2:m2d3b84e453a41b493d2f8293d453bfc" minOccurs="0"/>
                <xsd:element ref="ns2:Project" minOccurs="0"/>
                <xsd:element ref="ns2:KeyPoints" minOccurs="0"/>
                <xsd:element ref="ns2:Extracted_x0020_Text" minOccurs="0"/>
                <xsd:element ref="ns2: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f9832-fa29-4d0b-8301-c5ccf72ca850" elementFormDefault="qualified">
    <xsd:import namespace="http://schemas.microsoft.com/office/2006/documentManagement/types"/>
    <xsd:import namespace="http://schemas.microsoft.com/office/infopath/2007/PartnerControls"/>
    <xsd:element name="i44d58dc1cf74c3bb0600f75e80272a0" ma:index="10" nillable="true" ma:taxonomy="true" ma:internalName="i44d58dc1cf74c3bb0600f75e80272a0" ma:taxonomyFieldName="Geography" ma:displayName="Geography" ma:default="" ma:fieldId="{244d58dc-1cf7-4c3b-b060-0f75e80272a0}" ma:sspId="78ca830c-a034-4168-b956-d7763e68b615" ma:termSetId="28a1c660-2861-4b3d-a4b7-c19d748b4d8c" ma:anchorId="00000000-0000-0000-0000-000000000000" ma:open="false" ma:isKeyword="false">
      <xsd:complexType>
        <xsd:sequence>
          <xsd:element ref="pc:Terms" minOccurs="0" maxOccurs="1"/>
        </xsd:sequence>
      </xsd:complexType>
    </xsd:element>
    <xsd:element name="k7031f0ddbec44908666ccec4dca0b46" ma:index="12" nillable="true" ma:taxonomy="true" ma:internalName="k7031f0ddbec44908666ccec4dca0b46" ma:taxonomyFieldName="Client_x0020_Partner" ma:displayName="Client Partner" ma:readOnly="false" ma:default="" ma:fieldId="{47031f0d-dbec-4490-8666-ccec4dca0b46}" ma:sspId="78ca830c-a034-4168-b956-d7763e68b615" ma:termSetId="2fdb8ad4-2b2b-419a-bd90-93be715ccb67" ma:anchorId="00000000-0000-0000-0000-000000000000" ma:open="false" ma:isKeyword="false">
      <xsd:complexType>
        <xsd:sequence>
          <xsd:element ref="pc:Terms" minOccurs="0" maxOccurs="1"/>
        </xsd:sequence>
      </xsd:complexType>
    </xsd:element>
    <xsd:element name="m26e38606aa543cb981614fc6d49280d" ma:index="14" nillable="true" ma:taxonomy="true" ma:internalName="m26e38606aa543cb981614fc6d49280d" ma:taxonomyFieldName="Technology" ma:displayName="Technology" ma:readOnly="false" ma:default="" ma:fieldId="{626e3860-6aa5-43cb-9816-14fc6d49280d}" ma:sspId="78ca830c-a034-4168-b956-d7763e68b615" ma:termSetId="fb0d05d2-464d-47d8-b8c5-88e37d853ee5" ma:anchorId="00000000-0000-0000-0000-000000000000" ma:open="false" ma:isKeyword="false">
      <xsd:complexType>
        <xsd:sequence>
          <xsd:element ref="pc:Terms" minOccurs="0" maxOccurs="1"/>
        </xsd:sequence>
      </xsd:complexType>
    </xsd:element>
    <xsd:element name="n48685bf95bc4b8fa4aa6bfb34ecb222" ma:index="15" nillable="true" ma:taxonomy="true" ma:internalName="n48685bf95bc4b8fa4aa6bfb34ecb222" ma:taxonomyFieldName="Program" ma:displayName="Program" ma:readOnly="false" ma:default="1;#Electricity|477afd54-3aee-4d07-8712-a2801099faca" ma:fieldId="{748685bf-95bc-4b8f-a4aa-6bfb34ecb222}" ma:sspId="78ca830c-a034-4168-b956-d7763e68b615" ma:termSetId="fb5b2e61-77ad-482a-9c70-531e7aa7f77d"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a4fe0073-741c-4f18-a0b1-92b25e2355c0}" ma:internalName="TaxCatchAll" ma:showField="CatchAllData" ma:web="f13d1b39-2b1b-4da9-b61d-6cff8ff5b133">
      <xsd:complexType>
        <xsd:complexContent>
          <xsd:extension base="dms:MultiChoiceLookup">
            <xsd:sequence>
              <xsd:element name="Value" type="dms:Lookup" maxOccurs="unbounded" minOccurs="0" nillable="true"/>
            </xsd:sequence>
          </xsd:extension>
        </xsd:complexContent>
      </xsd:complexType>
    </xsd:element>
    <xsd:element name="eda3356070224fe59cf39745c882f8c6" ma:index="17" nillable="true" ma:taxonomy="true" ma:internalName="eda3356070224fe59cf39745c882f8c6" ma:taxonomyFieldName="Initiative" ma:displayName="Initiative" ma:readOnly="false" ma:default="2;#ELC - Business Models and Rate Design|ffeff133-4d9e-449e-b81c-ffb439651999" ma:fieldId="{eda33560-7022-4fe5-9cf3-9745c882f8c6}" ma:sspId="78ca830c-a034-4168-b956-d7763e68b615" ma:termSetId="903b7f5a-2ae5-4e42-8208-77428af6ee1e" ma:anchorId="00000000-0000-0000-0000-000000000000" ma:open="false" ma:isKeyword="false">
      <xsd:complexType>
        <xsd:sequence>
          <xsd:element ref="pc:Terms" minOccurs="0" maxOccurs="1"/>
        </xsd:sequence>
      </xsd:complexType>
    </xsd:element>
    <xsd:element name="n748466ce81f4d068bd498403e1ecc4b" ma:index="19" nillable="true" ma:taxonomy="true" ma:internalName="n748466ce81f4d068bd498403e1ecc4b" ma:taxonomyFieldName="Projects" ma:displayName="Projects" ma:readOnly="false" ma:default="" ma:fieldId="{7748466c-e81f-4d06-8bd4-98403e1ecc4b}" ma:taxonomyMulti="true" ma:sspId="78ca830c-a034-4168-b956-d7763e68b615" ma:termSetId="1ca03fc9-8c6d-48e1-924a-9e9a18db759c"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a4fe0073-741c-4f18-a0b1-92b25e2355c0}" ma:internalName="TaxCatchAllLabel" ma:readOnly="true" ma:showField="CatchAllDataLabel" ma:web="f13d1b39-2b1b-4da9-b61d-6cff8ff5b133">
      <xsd:complexType>
        <xsd:complexContent>
          <xsd:extension base="dms:MultiChoiceLookup">
            <xsd:sequence>
              <xsd:element name="Value" type="dms:Lookup" maxOccurs="unbounded" minOccurs="0" nillable="true"/>
            </xsd:sequence>
          </xsd:extension>
        </xsd:complexContent>
      </xsd:complexType>
    </xsd:element>
    <xsd:element name="n886c46fede847c080398018f40c4c47" ma:index="22" nillable="true" ma:taxonomy="true" ma:internalName="n886c46fede847c080398018f40c4c47" ma:taxonomyFieldName="Foundation" ma:displayName="Foundation" ma:readOnly="false" ma:default="" ma:fieldId="{7886c46f-ede8-47c0-8039-8018f40c4c47}" ma:sspId="78ca830c-a034-4168-b956-d7763e68b615" ma:termSetId="f178076e-94ff-44a9-8c37-04cfc45bd495" ma:anchorId="00000000-0000-0000-0000-000000000000" ma:open="false" ma:isKeyword="false">
      <xsd:complexType>
        <xsd:sequence>
          <xsd:element ref="pc:Terms" minOccurs="0" maxOccurs="1"/>
        </xsd:sequence>
      </xsd:complexType>
    </xsd:element>
    <xsd:element name="TaxKeywordTaxHTField" ma:index="24" nillable="true" ma:taxonomy="true" ma:internalName="TaxKeywordTaxHTField" ma:taxonomyFieldName="TaxKeyword" ma:displayName="Enterprise Keywords" ma:fieldId="{23f27201-bee3-471e-b2e7-b64fd8b7ca38}" ma:taxonomyMulti="true" ma:sspId="78ca830c-a034-4168-b956-d7763e68b615" ma:termSetId="00000000-0000-0000-0000-000000000000" ma:anchorId="00000000-0000-0000-0000-000000000000" ma:open="true" ma:isKeyword="true">
      <xsd:complexType>
        <xsd:sequence>
          <xsd:element ref="pc:Terms" minOccurs="0" maxOccurs="1"/>
        </xsd:sequence>
      </xsd:complexType>
    </xsd:element>
    <xsd:element name="e8144e7327f648c595f8fe404acef197" ma:index="26" nillable="true" ma:taxonomy="true" ma:internalName="e8144e7327f648c595f8fe404acef197" ma:taxonomyFieldName="Document_x0020_Status0" ma:displayName="Document Status" ma:default="475;#Draft|1196e416-c1e2-46e4-892a-39f21fb650b4" ma:fieldId="{e8144e73-27f6-48c5-95f8-fe404acef197}" ma:sspId="78ca830c-a034-4168-b956-d7763e68b615" ma:termSetId="d65b1371-216a-449b-be5c-ac755384594b" ma:anchorId="00000000-0000-0000-0000-000000000000" ma:open="false" ma:isKeyword="false">
      <xsd:complexType>
        <xsd:sequence>
          <xsd:element ref="pc:Terms" minOccurs="0" maxOccurs="1"/>
        </xsd:sequence>
      </xsd:complexType>
    </xsd:element>
    <xsd:element name="o811e3c0c0214fc6bb33522f4837a579" ma:index="28" nillable="true" ma:taxonomy="true" ma:internalName="o811e3c0c0214fc6bb33522f4837a579" ma:taxonomyFieldName="Legal_x0020_Designation0" ma:displayName="Legal Designation" ma:default="476;#Restricted - Internal use only|16e0e62b-45fc-43f2-9316-8e87a381ed63" ma:fieldId="{8811e3c0-c021-4fc6-bb33-522f4837a579}" ma:sspId="78ca830c-a034-4168-b956-d7763e68b615" ma:termSetId="d7cab2b2-b4f8-46a9-89b2-4eecb42d47ca" ma:anchorId="00000000-0000-0000-0000-000000000000" ma:open="false" ma:isKeyword="false">
      <xsd:complexType>
        <xsd:sequence>
          <xsd:element ref="pc:Terms" minOccurs="0" maxOccurs="1"/>
        </xsd:sequence>
      </xsd:complexType>
    </xsd:element>
    <xsd:element name="m2d3b84e453a41b493d2f8293d453bfc" ma:index="30" nillable="true" ma:taxonomy="true" ma:internalName="m2d3b84e453a41b493d2f8293d453bfc" ma:taxonomyFieldName="Countries_x0020_Impacted0" ma:displayName="Countries Impacted" ma:default="" ma:fieldId="{62d3b84e-453a-41b4-93d2-f8293d453bfc}" ma:sspId="78ca830c-a034-4168-b956-d7763e68b615" ma:termSetId="e1c3647c-981b-42b1-93b5-578d8c5389fd" ma:anchorId="00000000-0000-0000-0000-000000000000" ma:open="false" ma:isKeyword="false">
      <xsd:complexType>
        <xsd:sequence>
          <xsd:element ref="pc:Terms" minOccurs="0" maxOccurs="1"/>
        </xsd:sequence>
      </xsd:complexType>
    </xsd:element>
    <xsd:element name="Project" ma:index="32" nillable="true" ma:displayName="Project" ma:default="" ma:internalName="Project0">
      <xsd:simpleType>
        <xsd:restriction base="dms:Text">
          <xsd:maxLength value="255"/>
        </xsd:restriction>
      </xsd:simpleType>
    </xsd:element>
    <xsd:element name="KeyPoints" ma:index="33" nillable="true" ma:displayName="KeyPoints" ma:default="" ma:internalName="KeyPoints">
      <xsd:simpleType>
        <xsd:restriction base="dms:Note">
          <xsd:maxLength value="255"/>
        </xsd:restriction>
      </xsd:simpleType>
    </xsd:element>
    <xsd:element name="Extracted_x0020_Text" ma:index="34" nillable="true" ma:displayName="Extracted Text" ma:default="" ma:internalName="Extracted_x0020_Text">
      <xsd:simpleType>
        <xsd:restriction base="dms:Note">
          <xsd:maxLength value="255"/>
        </xsd:restriction>
      </xsd:simpleType>
    </xsd:element>
    <xsd:element name="Tags" ma:index="35" nillable="true" ma:displayName="Tags" ma:default="" ma:internalName="Tag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8ca830c-a034-4168-b956-d7763e68b615" ContentTypeId="0x010100C2CFE70F12B8554A80D65BC4AE2EF620" PreviousValue="false"/>
</file>

<file path=customXml/itemProps1.xml><?xml version="1.0" encoding="utf-8"?>
<ds:datastoreItem xmlns:ds="http://schemas.openxmlformats.org/officeDocument/2006/customXml" ds:itemID="{63741B1D-FE9A-4DE5-922D-DC6E48C1BC78}">
  <ds:schemaRefs>
    <ds:schemaRef ds:uri="http://schemas.microsoft.com/office/2006/metadata/properties"/>
    <ds:schemaRef ds:uri="http://schemas.microsoft.com/office/infopath/2007/PartnerControls"/>
    <ds:schemaRef ds:uri="a1df9832-fa29-4d0b-8301-c5ccf72ca850"/>
  </ds:schemaRefs>
</ds:datastoreItem>
</file>

<file path=customXml/itemProps2.xml><?xml version="1.0" encoding="utf-8"?>
<ds:datastoreItem xmlns:ds="http://schemas.openxmlformats.org/officeDocument/2006/customXml" ds:itemID="{2A7E1164-FC4B-41BF-A6E8-619CFA107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f9832-fa29-4d0b-8301-c5ccf72ca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92B1A1-9203-416A-92C3-14A61C72455B}">
  <ds:schemaRefs>
    <ds:schemaRef ds:uri="http://schemas.microsoft.com/sharepoint/v3/contenttype/forms"/>
  </ds:schemaRefs>
</ds:datastoreItem>
</file>

<file path=customXml/itemProps4.xml><?xml version="1.0" encoding="utf-8"?>
<ds:datastoreItem xmlns:ds="http://schemas.openxmlformats.org/officeDocument/2006/customXml" ds:itemID="{C4715BC6-BA3A-4530-BE64-59322623382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4502</Words>
  <Characters>26352</Characters>
  <Application>Microsoft Office Word</Application>
  <DocSecurity>0</DocSecurity>
  <Lines>219</Lines>
  <Paragraphs>61</Paragraphs>
  <ScaleCrop>false</ScaleCrop>
  <Company/>
  <LinksUpToDate>false</LinksUpToDate>
  <CharactersWithSpaces>30793</CharactersWithSpaces>
  <SharedDoc>false</SharedDoc>
  <HLinks>
    <vt:vector size="12" baseType="variant">
      <vt:variant>
        <vt:i4>5505024</vt:i4>
      </vt:variant>
      <vt:variant>
        <vt:i4>3</vt:i4>
      </vt:variant>
      <vt:variant>
        <vt:i4>0</vt:i4>
      </vt:variant>
      <vt:variant>
        <vt:i4>5</vt:i4>
      </vt:variant>
      <vt:variant>
        <vt:lpwstr>https://www.hawaiianelectric.com/about-us/performance-scorecards-and-metrics</vt:lpwstr>
      </vt:variant>
      <vt:variant>
        <vt:lpwstr/>
      </vt:variant>
      <vt:variant>
        <vt:i4>2883629</vt:i4>
      </vt:variant>
      <vt:variant>
        <vt:i4>0</vt:i4>
      </vt:variant>
      <vt:variant>
        <vt:i4>0</vt:i4>
      </vt:variant>
      <vt:variant>
        <vt:i4>5</vt:i4>
      </vt:variant>
      <vt:variant>
        <vt:lpwstr>https://www.scc.virginia.gov/media/sccvirginiagov-home/regulated-industries/utility-regulation/energy-regulation/2024-veur.pdf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21-05-15 Appendix A (Staff Concept Paper 2)</dc:title>
  <dc:subject/>
  <dc:creator>Jennifer Gorman</dc:creator>
  <cp:keywords/>
  <cp:lastModifiedBy>Cara Goldenberg</cp:lastModifiedBy>
  <cp:revision>2</cp:revision>
  <dcterms:created xsi:type="dcterms:W3CDTF">2025-04-09T20:52:00Z</dcterms:created>
  <dcterms:modified xsi:type="dcterms:W3CDTF">2025-04-09T20:52:00Z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Microsoft Word</vt:lpwstr>
  </property>
  <property fmtid="{D5CDD505-2E9C-101B-9397-08002B2CF9AE}" pid="4" name="LastSaved">
    <vt:filetime>2025-02-18T00:00:00Z</vt:filetime>
  </property>
  <property fmtid="{D5CDD505-2E9C-101B-9397-08002B2CF9AE}" pid="5" name="ContentTypeId">
    <vt:lpwstr>0x010100C2CFE70F12B8554A80D65BC4AE2EF620007B67C6C5B3513F49BE5E2C99CD186067</vt:lpwstr>
  </property>
  <property fmtid="{D5CDD505-2E9C-101B-9397-08002B2CF9AE}" pid="6" name="p58c085e633740bea6f811c15017b49f">
    <vt:lpwstr>Draft|1196e416-c1e2-46e4-892a-39f21fb650b4</vt:lpwstr>
  </property>
  <property fmtid="{D5CDD505-2E9C-101B-9397-08002B2CF9AE}" pid="7" name="maeed19da2754bb689f458df8e82f99b">
    <vt:lpwstr>Restricted - Internal use only|16e0e62b-45fc-43f2-9316-8e87a381ed63</vt:lpwstr>
  </property>
  <property fmtid="{D5CDD505-2E9C-101B-9397-08002B2CF9AE}" pid="8" name="Technology">
    <vt:lpwstr/>
  </property>
  <property fmtid="{D5CDD505-2E9C-101B-9397-08002B2CF9AE}" pid="9" name="Client Partner">
    <vt:lpwstr/>
  </property>
  <property fmtid="{D5CDD505-2E9C-101B-9397-08002B2CF9AE}" pid="10" name="Countries_x0020_Impacted0">
    <vt:lpwstr/>
  </property>
  <property fmtid="{D5CDD505-2E9C-101B-9397-08002B2CF9AE}" pid="11" name="TaxKeyword">
    <vt:lpwstr/>
  </property>
  <property fmtid="{D5CDD505-2E9C-101B-9397-08002B2CF9AE}" pid="12" name="Projects">
    <vt:lpwstr/>
  </property>
  <property fmtid="{D5CDD505-2E9C-101B-9397-08002B2CF9AE}" pid="13" name="Geography">
    <vt:lpwstr/>
  </property>
  <property fmtid="{D5CDD505-2E9C-101B-9397-08002B2CF9AE}" pid="14" name="MediaServiceImageTags">
    <vt:lpwstr/>
  </property>
  <property fmtid="{D5CDD505-2E9C-101B-9397-08002B2CF9AE}" pid="15" name="Document_x0020_Status0">
    <vt:lpwstr>475;#Draft|1196e416-c1e2-46e4-892a-39f21fb650b4</vt:lpwstr>
  </property>
  <property fmtid="{D5CDD505-2E9C-101B-9397-08002B2CF9AE}" pid="16" name="l9283ed5dc164381a5df9e58c4c717b4">
    <vt:lpwstr/>
  </property>
  <property fmtid="{D5CDD505-2E9C-101B-9397-08002B2CF9AE}" pid="17" name="Document Status0">
    <vt:lpwstr>475;#Draft|1196e416-c1e2-46e4-892a-39f21fb650b4</vt:lpwstr>
  </property>
  <property fmtid="{D5CDD505-2E9C-101B-9397-08002B2CF9AE}" pid="18" name="Document_x0020_Status">
    <vt:lpwstr>475;#Draft|1196e416-c1e2-46e4-892a-39f21fb650b4</vt:lpwstr>
  </property>
  <property fmtid="{D5CDD505-2E9C-101B-9397-08002B2CF9AE}" pid="19" name="Client_x0020_Partner">
    <vt:lpwstr/>
  </property>
  <property fmtid="{D5CDD505-2E9C-101B-9397-08002B2CF9AE}" pid="20" name="Program">
    <vt:lpwstr>1;#Electricity|477afd54-3aee-4d07-8712-a2801099faca</vt:lpwstr>
  </property>
  <property fmtid="{D5CDD505-2E9C-101B-9397-08002B2CF9AE}" pid="21" name="Document Status">
    <vt:lpwstr>475;#Draft|1196e416-c1e2-46e4-892a-39f21fb650b4</vt:lpwstr>
  </property>
  <property fmtid="{D5CDD505-2E9C-101B-9397-08002B2CF9AE}" pid="22" name="Legal_x0020_Designation">
    <vt:lpwstr>476;#Restricted - Internal use only|16e0e62b-45fc-43f2-9316-8e87a381ed63</vt:lpwstr>
  </property>
  <property fmtid="{D5CDD505-2E9C-101B-9397-08002B2CF9AE}" pid="23" name="Foundation">
    <vt:lpwstr/>
  </property>
  <property fmtid="{D5CDD505-2E9C-101B-9397-08002B2CF9AE}" pid="24" name="g0ce8a2f3448410ba12aa948d9e071b1">
    <vt:lpwstr/>
  </property>
  <property fmtid="{D5CDD505-2E9C-101B-9397-08002B2CF9AE}" pid="25" name="Legal_x0020_Designation0">
    <vt:lpwstr>476;#Restricted - Internal use only|16e0e62b-45fc-43f2-9316-8e87a381ed63</vt:lpwstr>
  </property>
  <property fmtid="{D5CDD505-2E9C-101B-9397-08002B2CF9AE}" pid="26" name="Initiative">
    <vt:lpwstr>2;#ELC - Business Models and Rate Design|ffeff133-4d9e-449e-b81c-ffb439651999</vt:lpwstr>
  </property>
  <property fmtid="{D5CDD505-2E9C-101B-9397-08002B2CF9AE}" pid="27" name="Countries_x0020_Impacted">
    <vt:lpwstr/>
  </property>
  <property fmtid="{D5CDD505-2E9C-101B-9397-08002B2CF9AE}" pid="28" name="Legal Designation">
    <vt:lpwstr>476;#Restricted - Internal use only|16e0e62b-45fc-43f2-9316-8e87a381ed63</vt:lpwstr>
  </property>
  <property fmtid="{D5CDD505-2E9C-101B-9397-08002B2CF9AE}" pid="29" name="Industry">
    <vt:lpwstr/>
  </property>
  <property fmtid="{D5CDD505-2E9C-101B-9397-08002B2CF9AE}" pid="30" name="Legal Designation0">
    <vt:lpwstr>476;#Restricted - Internal use only|16e0e62b-45fc-43f2-9316-8e87a381ed63</vt:lpwstr>
  </property>
  <property fmtid="{D5CDD505-2E9C-101B-9397-08002B2CF9AE}" pid="31" name="Countries Impacted0">
    <vt:lpwstr/>
  </property>
  <property fmtid="{D5CDD505-2E9C-101B-9397-08002B2CF9AE}" pid="32" name="lcf76f155ced4ddcb4097134ff3c332f">
    <vt:lpwstr/>
  </property>
  <property fmtid="{D5CDD505-2E9C-101B-9397-08002B2CF9AE}" pid="33" name="Countries Impacted">
    <vt:lpwstr/>
  </property>
</Properties>
</file>